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57F02">
        <w:tblPrEx>
          <w:tblCellMar>
            <w:top w:w="0" w:type="dxa"/>
            <w:bottom w:w="0" w:type="dxa"/>
          </w:tblCellMar>
        </w:tblPrEx>
        <w:trPr>
          <w:tblCellSpacing w:w="60" w:type="dxa"/>
        </w:trPr>
        <w:tc>
          <w:tcPr>
            <w:tcW w:w="1200" w:type="pct"/>
            <w:shd w:val="clear" w:color="auto" w:fill="E7F0F9"/>
          </w:tcPr>
          <w:p w:rsidR="00757F02" w:rsidRDefault="00820E0A">
            <w:pPr>
              <w:spacing w:after="0" w:line="240" w:lineRule="auto"/>
            </w:pPr>
            <w:bookmarkStart w:id="0" w:name="_GoBack"/>
            <w:bookmarkEnd w:id="0"/>
            <w:r>
              <w:rPr>
                <w:b/>
              </w:rPr>
              <w:t>RKP broj</w:t>
            </w:r>
          </w:p>
        </w:tc>
        <w:tc>
          <w:tcPr>
            <w:tcW w:w="0" w:type="auto"/>
            <w:shd w:val="clear" w:color="auto" w:fill="E7F0F9"/>
          </w:tcPr>
          <w:p w:rsidR="00757F02" w:rsidRDefault="00820E0A">
            <w:pPr>
              <w:spacing w:after="0" w:line="240" w:lineRule="auto"/>
            </w:pPr>
            <w:r>
              <w:t>18856</w:t>
            </w:r>
          </w:p>
        </w:tc>
      </w:tr>
      <w:tr w:rsidR="00757F02">
        <w:tblPrEx>
          <w:tblCellMar>
            <w:top w:w="0" w:type="dxa"/>
            <w:bottom w:w="0" w:type="dxa"/>
          </w:tblCellMar>
        </w:tblPrEx>
        <w:trPr>
          <w:tblCellSpacing w:w="60" w:type="dxa"/>
        </w:trPr>
        <w:tc>
          <w:tcPr>
            <w:tcW w:w="1200" w:type="pct"/>
            <w:shd w:val="clear" w:color="auto" w:fill="E7F0F9"/>
          </w:tcPr>
          <w:p w:rsidR="00757F02" w:rsidRDefault="00820E0A">
            <w:pPr>
              <w:spacing w:after="0" w:line="240" w:lineRule="auto"/>
            </w:pPr>
            <w:r>
              <w:rPr>
                <w:b/>
              </w:rPr>
              <w:t>Naziv obveznika</w:t>
            </w:r>
          </w:p>
        </w:tc>
        <w:tc>
          <w:tcPr>
            <w:tcW w:w="0" w:type="auto"/>
            <w:shd w:val="clear" w:color="auto" w:fill="E7F0F9"/>
          </w:tcPr>
          <w:p w:rsidR="00757F02" w:rsidRDefault="00820E0A">
            <w:pPr>
              <w:spacing w:after="0" w:line="240" w:lineRule="auto"/>
            </w:pPr>
            <w:r>
              <w:t>SREDNJA ŠKOLA ČAZMA</w:t>
            </w:r>
          </w:p>
        </w:tc>
      </w:tr>
      <w:tr w:rsidR="00757F02">
        <w:tblPrEx>
          <w:tblCellMar>
            <w:top w:w="0" w:type="dxa"/>
            <w:bottom w:w="0" w:type="dxa"/>
          </w:tblCellMar>
        </w:tblPrEx>
        <w:trPr>
          <w:tblCellSpacing w:w="60" w:type="dxa"/>
        </w:trPr>
        <w:tc>
          <w:tcPr>
            <w:tcW w:w="1200" w:type="pct"/>
            <w:shd w:val="clear" w:color="auto" w:fill="E7F0F9"/>
          </w:tcPr>
          <w:p w:rsidR="00757F02" w:rsidRDefault="00820E0A">
            <w:pPr>
              <w:spacing w:after="0" w:line="240" w:lineRule="auto"/>
            </w:pPr>
            <w:r>
              <w:rPr>
                <w:b/>
              </w:rPr>
              <w:t>Razina</w:t>
            </w:r>
          </w:p>
        </w:tc>
        <w:tc>
          <w:tcPr>
            <w:tcW w:w="0" w:type="auto"/>
            <w:shd w:val="clear" w:color="auto" w:fill="E7F0F9"/>
          </w:tcPr>
          <w:p w:rsidR="00757F02" w:rsidRDefault="00820E0A">
            <w:pPr>
              <w:spacing w:after="0" w:line="240" w:lineRule="auto"/>
            </w:pPr>
            <w:r>
              <w:t>31</w:t>
            </w:r>
          </w:p>
        </w:tc>
      </w:tr>
    </w:tbl>
    <w:p w:rsidR="00757F02" w:rsidRDefault="00820E0A">
      <w:r>
        <w:br/>
      </w:r>
    </w:p>
    <w:p w:rsidR="00757F02" w:rsidRDefault="00820E0A">
      <w:pPr>
        <w:spacing w:line="240" w:lineRule="auto"/>
        <w:jc w:val="center"/>
      </w:pPr>
      <w:r>
        <w:rPr>
          <w:b/>
          <w:sz w:val="28"/>
        </w:rPr>
        <w:t>BILJEŠKE UZ FINANCIJSKE IZVJEŠTAJE</w:t>
      </w:r>
    </w:p>
    <w:p w:rsidR="00757F02" w:rsidRDefault="00820E0A">
      <w:pPr>
        <w:spacing w:line="240" w:lineRule="auto"/>
        <w:jc w:val="center"/>
      </w:pPr>
      <w:r>
        <w:rPr>
          <w:b/>
          <w:sz w:val="28"/>
        </w:rPr>
        <w:t>ZA RAZDOBLJE</w:t>
      </w:r>
    </w:p>
    <w:p w:rsidR="00757F02" w:rsidRDefault="00820E0A">
      <w:pPr>
        <w:spacing w:line="240" w:lineRule="auto"/>
        <w:jc w:val="center"/>
      </w:pPr>
      <w:r>
        <w:rPr>
          <w:b/>
          <w:sz w:val="28"/>
        </w:rPr>
        <w:t>I - VI 2025.</w:t>
      </w:r>
    </w:p>
    <w:p w:rsidR="00757F02" w:rsidRDefault="00757F02"/>
    <w:p w:rsidR="00757F02" w:rsidRDefault="00820E0A">
      <w:pPr>
        <w:keepNext/>
        <w:spacing w:line="240" w:lineRule="auto"/>
        <w:jc w:val="center"/>
      </w:pPr>
      <w:r>
        <w:rPr>
          <w:b/>
          <w:sz w:val="28"/>
        </w:rPr>
        <w:t>Izvještaj o prihodima i rashodima, primicima i izdacima</w:t>
      </w:r>
    </w:p>
    <w:p w:rsidR="00757F02" w:rsidRDefault="00820E0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6</w:t>
            </w:r>
          </w:p>
        </w:tc>
        <w:tc>
          <w:tcPr>
            <w:tcW w:w="3180" w:type="dxa"/>
            <w:tcMar>
              <w:top w:w="0" w:type="dxa"/>
              <w:bottom w:w="0" w:type="dxa"/>
            </w:tcMar>
            <w:vAlign w:val="center"/>
          </w:tcPr>
          <w:p w:rsidR="00757F02" w:rsidRDefault="00820E0A">
            <w:pPr>
              <w:keepNext/>
              <w:keepLines/>
              <w:spacing w:after="0" w:line="240" w:lineRule="auto"/>
            </w:pPr>
            <w:r>
              <w:rPr>
                <w:sz w:val="18"/>
              </w:rPr>
              <w:t>PRIHODI POSLOVANJA (šifre 61+62+63+64+65+66+67+68)</w:t>
            </w:r>
          </w:p>
        </w:tc>
        <w:tc>
          <w:tcPr>
            <w:tcW w:w="700" w:type="dxa"/>
            <w:tcMar>
              <w:top w:w="0" w:type="dxa"/>
              <w:bottom w:w="0" w:type="dxa"/>
            </w:tcMar>
            <w:vAlign w:val="center"/>
          </w:tcPr>
          <w:p w:rsidR="00757F02" w:rsidRDefault="00820E0A">
            <w:pPr>
              <w:keepNext/>
              <w:keepLines/>
              <w:spacing w:after="0" w:line="240" w:lineRule="auto"/>
            </w:pPr>
            <w:r>
              <w:rPr>
                <w:sz w:val="18"/>
              </w:rPr>
              <w:t>6</w:t>
            </w:r>
          </w:p>
        </w:tc>
        <w:tc>
          <w:tcPr>
            <w:tcW w:w="1860" w:type="dxa"/>
            <w:tcMar>
              <w:top w:w="0" w:type="dxa"/>
              <w:bottom w:w="0" w:type="dxa"/>
            </w:tcMar>
            <w:vAlign w:val="center"/>
          </w:tcPr>
          <w:p w:rsidR="00757F02" w:rsidRDefault="00820E0A">
            <w:pPr>
              <w:keepNext/>
              <w:keepLines/>
              <w:spacing w:after="0" w:line="240" w:lineRule="auto"/>
              <w:jc w:val="right"/>
            </w:pPr>
            <w:r>
              <w:rPr>
                <w:sz w:val="18"/>
              </w:rPr>
              <w:t>555.356,23</w:t>
            </w:r>
          </w:p>
        </w:tc>
        <w:tc>
          <w:tcPr>
            <w:tcW w:w="1860" w:type="dxa"/>
            <w:tcMar>
              <w:top w:w="0" w:type="dxa"/>
              <w:bottom w:w="0" w:type="dxa"/>
            </w:tcMar>
            <w:vAlign w:val="center"/>
          </w:tcPr>
          <w:p w:rsidR="00757F02" w:rsidRDefault="00820E0A">
            <w:pPr>
              <w:keepNext/>
              <w:keepLines/>
              <w:spacing w:after="0" w:line="240" w:lineRule="auto"/>
              <w:jc w:val="right"/>
            </w:pPr>
            <w:r>
              <w:rPr>
                <w:sz w:val="18"/>
              </w:rPr>
              <w:t>639.881,58</w:t>
            </w:r>
          </w:p>
        </w:tc>
        <w:tc>
          <w:tcPr>
            <w:tcW w:w="700" w:type="dxa"/>
            <w:tcMar>
              <w:top w:w="0" w:type="dxa"/>
              <w:bottom w:w="0" w:type="dxa"/>
            </w:tcMar>
            <w:vAlign w:val="center"/>
          </w:tcPr>
          <w:p w:rsidR="00757F02" w:rsidRDefault="00820E0A">
            <w:pPr>
              <w:keepNext/>
              <w:keepLines/>
              <w:spacing w:after="0" w:line="240" w:lineRule="auto"/>
              <w:jc w:val="right"/>
            </w:pPr>
            <w:r>
              <w:rPr>
                <w:sz w:val="18"/>
              </w:rPr>
              <w:t>115,2</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w:t>
            </w:r>
          </w:p>
        </w:tc>
        <w:tc>
          <w:tcPr>
            <w:tcW w:w="3180" w:type="dxa"/>
            <w:tcMar>
              <w:top w:w="0" w:type="dxa"/>
              <w:bottom w:w="0" w:type="dxa"/>
            </w:tcMar>
            <w:vAlign w:val="center"/>
          </w:tcPr>
          <w:p w:rsidR="00757F02" w:rsidRDefault="00820E0A">
            <w:pPr>
              <w:keepNext/>
              <w:keepLines/>
              <w:spacing w:after="0" w:line="240" w:lineRule="auto"/>
            </w:pPr>
            <w:r>
              <w:rPr>
                <w:sz w:val="18"/>
              </w:rPr>
              <w:t>RASHODI POSLOVANJA (šifre 31+32+34+35+36+37+38)</w:t>
            </w:r>
          </w:p>
        </w:tc>
        <w:tc>
          <w:tcPr>
            <w:tcW w:w="700" w:type="dxa"/>
            <w:tcMar>
              <w:top w:w="0" w:type="dxa"/>
              <w:bottom w:w="0" w:type="dxa"/>
            </w:tcMar>
            <w:vAlign w:val="center"/>
          </w:tcPr>
          <w:p w:rsidR="00757F02" w:rsidRDefault="00820E0A">
            <w:pPr>
              <w:keepNext/>
              <w:keepLines/>
              <w:spacing w:after="0" w:line="240" w:lineRule="auto"/>
            </w:pPr>
            <w:r>
              <w:rPr>
                <w:sz w:val="18"/>
              </w:rPr>
              <w:t>3</w:t>
            </w:r>
          </w:p>
        </w:tc>
        <w:tc>
          <w:tcPr>
            <w:tcW w:w="1860" w:type="dxa"/>
            <w:tcMar>
              <w:top w:w="0" w:type="dxa"/>
              <w:bottom w:w="0" w:type="dxa"/>
            </w:tcMar>
            <w:vAlign w:val="center"/>
          </w:tcPr>
          <w:p w:rsidR="00757F02" w:rsidRDefault="00820E0A">
            <w:pPr>
              <w:keepNext/>
              <w:keepLines/>
              <w:spacing w:after="0" w:line="240" w:lineRule="auto"/>
              <w:jc w:val="right"/>
            </w:pPr>
            <w:r>
              <w:rPr>
                <w:sz w:val="18"/>
              </w:rPr>
              <w:t>586.595,81</w:t>
            </w:r>
          </w:p>
        </w:tc>
        <w:tc>
          <w:tcPr>
            <w:tcW w:w="1860" w:type="dxa"/>
            <w:tcMar>
              <w:top w:w="0" w:type="dxa"/>
              <w:bottom w:w="0" w:type="dxa"/>
            </w:tcMar>
            <w:vAlign w:val="center"/>
          </w:tcPr>
          <w:p w:rsidR="00757F02" w:rsidRDefault="00820E0A">
            <w:pPr>
              <w:keepNext/>
              <w:keepLines/>
              <w:spacing w:after="0" w:line="240" w:lineRule="auto"/>
              <w:jc w:val="right"/>
            </w:pPr>
            <w:r>
              <w:rPr>
                <w:sz w:val="18"/>
              </w:rPr>
              <w:t>706.222,88</w:t>
            </w:r>
          </w:p>
        </w:tc>
        <w:tc>
          <w:tcPr>
            <w:tcW w:w="700" w:type="dxa"/>
            <w:tcMar>
              <w:top w:w="0" w:type="dxa"/>
              <w:bottom w:w="0" w:type="dxa"/>
            </w:tcMar>
            <w:vAlign w:val="center"/>
          </w:tcPr>
          <w:p w:rsidR="00757F02" w:rsidRDefault="00820E0A">
            <w:pPr>
              <w:keepNext/>
              <w:keepLines/>
              <w:spacing w:after="0" w:line="240" w:lineRule="auto"/>
              <w:jc w:val="right"/>
            </w:pPr>
            <w:r>
              <w:rPr>
                <w:sz w:val="18"/>
              </w:rPr>
              <w:t>120,4</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757F02">
            <w:pPr>
              <w:keepNext/>
              <w:keepLines/>
              <w:spacing w:after="0" w:line="240" w:lineRule="auto"/>
            </w:pPr>
          </w:p>
        </w:tc>
        <w:tc>
          <w:tcPr>
            <w:tcW w:w="3180" w:type="dxa"/>
            <w:tcMar>
              <w:top w:w="0" w:type="dxa"/>
              <w:bottom w:w="0" w:type="dxa"/>
            </w:tcMar>
            <w:vAlign w:val="center"/>
          </w:tcPr>
          <w:p w:rsidR="00757F02" w:rsidRDefault="00820E0A">
            <w:pPr>
              <w:keepNext/>
              <w:keepLines/>
              <w:spacing w:after="0" w:line="240" w:lineRule="auto"/>
            </w:pPr>
            <w:r>
              <w:rPr>
                <w:b/>
                <w:sz w:val="18"/>
              </w:rPr>
              <w:t>MANJAK PRIHODA POSLOVANJA (šifre Z005-6)</w:t>
            </w:r>
          </w:p>
        </w:tc>
        <w:tc>
          <w:tcPr>
            <w:tcW w:w="700" w:type="dxa"/>
            <w:tcMar>
              <w:top w:w="0" w:type="dxa"/>
              <w:bottom w:w="0" w:type="dxa"/>
            </w:tcMar>
            <w:vAlign w:val="center"/>
          </w:tcPr>
          <w:p w:rsidR="00757F02" w:rsidRDefault="00820E0A">
            <w:pPr>
              <w:keepNext/>
              <w:keepLines/>
              <w:spacing w:after="0" w:line="240" w:lineRule="auto"/>
            </w:pPr>
            <w:r>
              <w:rPr>
                <w:b/>
                <w:sz w:val="18"/>
              </w:rPr>
              <w:t>Y001</w:t>
            </w:r>
          </w:p>
        </w:tc>
        <w:tc>
          <w:tcPr>
            <w:tcW w:w="1860" w:type="dxa"/>
            <w:tcMar>
              <w:top w:w="0" w:type="dxa"/>
              <w:bottom w:w="0" w:type="dxa"/>
            </w:tcMar>
            <w:vAlign w:val="center"/>
          </w:tcPr>
          <w:p w:rsidR="00757F02" w:rsidRDefault="00820E0A">
            <w:pPr>
              <w:keepNext/>
              <w:keepLines/>
              <w:spacing w:after="0" w:line="240" w:lineRule="auto"/>
              <w:jc w:val="right"/>
            </w:pPr>
            <w:r>
              <w:rPr>
                <w:b/>
                <w:sz w:val="18"/>
              </w:rPr>
              <w:t>31.239,58</w:t>
            </w:r>
          </w:p>
        </w:tc>
        <w:tc>
          <w:tcPr>
            <w:tcW w:w="1860" w:type="dxa"/>
            <w:tcMar>
              <w:top w:w="0" w:type="dxa"/>
              <w:bottom w:w="0" w:type="dxa"/>
            </w:tcMar>
            <w:vAlign w:val="center"/>
          </w:tcPr>
          <w:p w:rsidR="00757F02" w:rsidRDefault="00820E0A">
            <w:pPr>
              <w:keepNext/>
              <w:keepLines/>
              <w:spacing w:after="0" w:line="240" w:lineRule="auto"/>
              <w:jc w:val="right"/>
            </w:pPr>
            <w:r>
              <w:rPr>
                <w:b/>
                <w:sz w:val="18"/>
              </w:rPr>
              <w:t>66.341,30</w:t>
            </w:r>
          </w:p>
        </w:tc>
        <w:tc>
          <w:tcPr>
            <w:tcW w:w="700" w:type="dxa"/>
            <w:tcMar>
              <w:top w:w="0" w:type="dxa"/>
              <w:bottom w:w="0" w:type="dxa"/>
            </w:tcMar>
            <w:vAlign w:val="center"/>
          </w:tcPr>
          <w:p w:rsidR="00757F02" w:rsidRDefault="00820E0A">
            <w:pPr>
              <w:keepNext/>
              <w:keepLines/>
              <w:spacing w:after="0" w:line="240" w:lineRule="auto"/>
              <w:jc w:val="right"/>
            </w:pPr>
            <w:r>
              <w:rPr>
                <w:b/>
                <w:sz w:val="18"/>
              </w:rPr>
              <w:t>212,4</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7</w:t>
            </w:r>
          </w:p>
        </w:tc>
        <w:tc>
          <w:tcPr>
            <w:tcW w:w="3180" w:type="dxa"/>
            <w:tcMar>
              <w:top w:w="0" w:type="dxa"/>
              <w:bottom w:w="0" w:type="dxa"/>
            </w:tcMar>
            <w:vAlign w:val="center"/>
          </w:tcPr>
          <w:p w:rsidR="00757F02" w:rsidRDefault="00820E0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57F02" w:rsidRDefault="00820E0A">
            <w:pPr>
              <w:keepNext/>
              <w:keepLines/>
              <w:spacing w:after="0" w:line="240" w:lineRule="auto"/>
            </w:pPr>
            <w:r>
              <w:rPr>
                <w:sz w:val="18"/>
              </w:rPr>
              <w:t>7</w:t>
            </w:r>
          </w:p>
        </w:tc>
        <w:tc>
          <w:tcPr>
            <w:tcW w:w="1860" w:type="dxa"/>
            <w:tcMar>
              <w:top w:w="0" w:type="dxa"/>
              <w:bottom w:w="0" w:type="dxa"/>
            </w:tcMar>
            <w:vAlign w:val="center"/>
          </w:tcPr>
          <w:p w:rsidR="00757F02" w:rsidRDefault="00820E0A">
            <w:pPr>
              <w:keepNext/>
              <w:keepLines/>
              <w:spacing w:after="0" w:line="240" w:lineRule="auto"/>
              <w:jc w:val="right"/>
            </w:pPr>
            <w:r>
              <w:rPr>
                <w:sz w:val="18"/>
              </w:rPr>
              <w:t>222,96</w:t>
            </w:r>
          </w:p>
        </w:tc>
        <w:tc>
          <w:tcPr>
            <w:tcW w:w="1860" w:type="dxa"/>
            <w:tcMar>
              <w:top w:w="0" w:type="dxa"/>
              <w:bottom w:w="0" w:type="dxa"/>
            </w:tcMar>
            <w:vAlign w:val="center"/>
          </w:tcPr>
          <w:p w:rsidR="00757F02" w:rsidRDefault="00820E0A">
            <w:pPr>
              <w:keepNext/>
              <w:keepLines/>
              <w:spacing w:after="0" w:line="240" w:lineRule="auto"/>
              <w:jc w:val="right"/>
            </w:pPr>
            <w:r>
              <w:rPr>
                <w:sz w:val="18"/>
              </w:rPr>
              <w:t>111,18</w:t>
            </w:r>
          </w:p>
        </w:tc>
        <w:tc>
          <w:tcPr>
            <w:tcW w:w="700" w:type="dxa"/>
            <w:tcMar>
              <w:top w:w="0" w:type="dxa"/>
              <w:bottom w:w="0" w:type="dxa"/>
            </w:tcMar>
            <w:vAlign w:val="center"/>
          </w:tcPr>
          <w:p w:rsidR="00757F02" w:rsidRDefault="00820E0A">
            <w:pPr>
              <w:keepNext/>
              <w:keepLines/>
              <w:spacing w:after="0" w:line="240" w:lineRule="auto"/>
              <w:jc w:val="right"/>
            </w:pPr>
            <w:r>
              <w:rPr>
                <w:sz w:val="18"/>
              </w:rPr>
              <w:t>49,9</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4</w:t>
            </w:r>
          </w:p>
        </w:tc>
        <w:tc>
          <w:tcPr>
            <w:tcW w:w="3180" w:type="dxa"/>
            <w:tcMar>
              <w:top w:w="0" w:type="dxa"/>
              <w:bottom w:w="0" w:type="dxa"/>
            </w:tcMar>
            <w:vAlign w:val="center"/>
          </w:tcPr>
          <w:p w:rsidR="00757F02" w:rsidRDefault="00820E0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757F02" w:rsidRDefault="00820E0A">
            <w:pPr>
              <w:keepNext/>
              <w:keepLines/>
              <w:spacing w:after="0" w:line="240" w:lineRule="auto"/>
            </w:pPr>
            <w:r>
              <w:rPr>
                <w:sz w:val="18"/>
              </w:rPr>
              <w:t>4</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1860" w:type="dxa"/>
            <w:tcMar>
              <w:top w:w="0" w:type="dxa"/>
              <w:bottom w:w="0" w:type="dxa"/>
            </w:tcMar>
            <w:vAlign w:val="center"/>
          </w:tcPr>
          <w:p w:rsidR="00757F02" w:rsidRDefault="00820E0A">
            <w:pPr>
              <w:keepNext/>
              <w:keepLines/>
              <w:spacing w:after="0" w:line="240" w:lineRule="auto"/>
              <w:jc w:val="right"/>
            </w:pPr>
            <w:r>
              <w:rPr>
                <w:sz w:val="18"/>
              </w:rPr>
              <w:t>18.491,05</w:t>
            </w:r>
          </w:p>
        </w:tc>
        <w:tc>
          <w:tcPr>
            <w:tcW w:w="700" w:type="dxa"/>
            <w:tcMar>
              <w:top w:w="0" w:type="dxa"/>
              <w:bottom w:w="0" w:type="dxa"/>
            </w:tcMar>
            <w:vAlign w:val="center"/>
          </w:tcPr>
          <w:p w:rsidR="00757F02" w:rsidRDefault="00820E0A">
            <w:pPr>
              <w:keepNext/>
              <w:keepLines/>
              <w:spacing w:after="0" w:line="240" w:lineRule="auto"/>
              <w:jc w:val="right"/>
            </w:pPr>
            <w:r>
              <w:rPr>
                <w:sz w:val="18"/>
              </w:rPr>
              <w:t>-</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757F02">
            <w:pPr>
              <w:keepNext/>
              <w:keepLines/>
              <w:spacing w:after="0" w:line="240" w:lineRule="auto"/>
            </w:pPr>
          </w:p>
        </w:tc>
        <w:tc>
          <w:tcPr>
            <w:tcW w:w="3180" w:type="dxa"/>
            <w:tcMar>
              <w:top w:w="0" w:type="dxa"/>
              <w:bottom w:w="0" w:type="dxa"/>
            </w:tcMar>
            <w:vAlign w:val="center"/>
          </w:tcPr>
          <w:p w:rsidR="00757F02" w:rsidRDefault="00820E0A">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57F02" w:rsidRDefault="00820E0A">
            <w:pPr>
              <w:keepNext/>
              <w:keepLines/>
              <w:spacing w:after="0" w:line="240" w:lineRule="auto"/>
            </w:pPr>
            <w:r>
              <w:rPr>
                <w:b/>
                <w:sz w:val="18"/>
              </w:rPr>
              <w:t>Y002</w:t>
            </w:r>
          </w:p>
        </w:tc>
        <w:tc>
          <w:tcPr>
            <w:tcW w:w="1860" w:type="dxa"/>
            <w:tcMar>
              <w:top w:w="0" w:type="dxa"/>
              <w:bottom w:w="0" w:type="dxa"/>
            </w:tcMar>
            <w:vAlign w:val="center"/>
          </w:tcPr>
          <w:p w:rsidR="00757F02" w:rsidRDefault="00820E0A">
            <w:pPr>
              <w:keepNext/>
              <w:keepLines/>
              <w:spacing w:after="0" w:line="240" w:lineRule="auto"/>
              <w:jc w:val="right"/>
            </w:pPr>
            <w:r>
              <w:rPr>
                <w:b/>
                <w:sz w:val="18"/>
              </w:rPr>
              <w:t>0,00</w:t>
            </w:r>
          </w:p>
        </w:tc>
        <w:tc>
          <w:tcPr>
            <w:tcW w:w="1860" w:type="dxa"/>
            <w:tcMar>
              <w:top w:w="0" w:type="dxa"/>
              <w:bottom w:w="0" w:type="dxa"/>
            </w:tcMar>
            <w:vAlign w:val="center"/>
          </w:tcPr>
          <w:p w:rsidR="00757F02" w:rsidRDefault="00820E0A">
            <w:pPr>
              <w:keepNext/>
              <w:keepLines/>
              <w:spacing w:after="0" w:line="240" w:lineRule="auto"/>
              <w:jc w:val="right"/>
            </w:pPr>
            <w:r>
              <w:rPr>
                <w:b/>
                <w:sz w:val="18"/>
              </w:rPr>
              <w:t>18.379,87</w:t>
            </w:r>
          </w:p>
        </w:tc>
        <w:tc>
          <w:tcPr>
            <w:tcW w:w="700" w:type="dxa"/>
            <w:tcMar>
              <w:top w:w="0" w:type="dxa"/>
              <w:bottom w:w="0" w:type="dxa"/>
            </w:tcMar>
            <w:vAlign w:val="center"/>
          </w:tcPr>
          <w:p w:rsidR="00757F02" w:rsidRDefault="00820E0A">
            <w:pPr>
              <w:keepNext/>
              <w:keepLines/>
              <w:spacing w:after="0" w:line="240" w:lineRule="auto"/>
              <w:jc w:val="right"/>
            </w:pPr>
            <w:r>
              <w:rPr>
                <w:b/>
                <w:sz w:val="18"/>
              </w:rPr>
              <w:t>-</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8</w:t>
            </w:r>
          </w:p>
        </w:tc>
        <w:tc>
          <w:tcPr>
            <w:tcW w:w="3180" w:type="dxa"/>
            <w:tcMar>
              <w:top w:w="0" w:type="dxa"/>
              <w:bottom w:w="0" w:type="dxa"/>
            </w:tcMar>
            <w:vAlign w:val="center"/>
          </w:tcPr>
          <w:p w:rsidR="00757F02" w:rsidRDefault="00820E0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57F02" w:rsidRDefault="00820E0A">
            <w:pPr>
              <w:keepNext/>
              <w:keepLines/>
              <w:spacing w:after="0" w:line="240" w:lineRule="auto"/>
            </w:pPr>
            <w:r>
              <w:rPr>
                <w:sz w:val="18"/>
              </w:rPr>
              <w:t>8</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700" w:type="dxa"/>
            <w:tcMar>
              <w:top w:w="0" w:type="dxa"/>
              <w:bottom w:w="0" w:type="dxa"/>
            </w:tcMar>
            <w:vAlign w:val="center"/>
          </w:tcPr>
          <w:p w:rsidR="00757F02" w:rsidRDefault="00820E0A">
            <w:pPr>
              <w:keepNext/>
              <w:keepLines/>
              <w:spacing w:after="0" w:line="240" w:lineRule="auto"/>
              <w:jc w:val="right"/>
            </w:pPr>
            <w:r>
              <w:rPr>
                <w:sz w:val="18"/>
              </w:rPr>
              <w:t>-</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5</w:t>
            </w:r>
          </w:p>
        </w:tc>
        <w:tc>
          <w:tcPr>
            <w:tcW w:w="3180" w:type="dxa"/>
            <w:tcMar>
              <w:top w:w="0" w:type="dxa"/>
              <w:bottom w:w="0" w:type="dxa"/>
            </w:tcMar>
            <w:vAlign w:val="center"/>
          </w:tcPr>
          <w:p w:rsidR="00757F02" w:rsidRDefault="00820E0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757F02" w:rsidRDefault="00820E0A">
            <w:pPr>
              <w:keepNext/>
              <w:keepLines/>
              <w:spacing w:after="0" w:line="240" w:lineRule="auto"/>
            </w:pPr>
            <w:r>
              <w:rPr>
                <w:sz w:val="18"/>
              </w:rPr>
              <w:t>5</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700" w:type="dxa"/>
            <w:tcMar>
              <w:top w:w="0" w:type="dxa"/>
              <w:bottom w:w="0" w:type="dxa"/>
            </w:tcMar>
            <w:vAlign w:val="center"/>
          </w:tcPr>
          <w:p w:rsidR="00757F02" w:rsidRDefault="00820E0A">
            <w:pPr>
              <w:keepNext/>
              <w:keepLines/>
              <w:spacing w:after="0" w:line="240" w:lineRule="auto"/>
              <w:jc w:val="right"/>
            </w:pPr>
            <w:r>
              <w:rPr>
                <w:sz w:val="18"/>
              </w:rPr>
              <w:t>-</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757F02">
            <w:pPr>
              <w:keepNext/>
              <w:keepLines/>
              <w:spacing w:after="0" w:line="240" w:lineRule="auto"/>
            </w:pPr>
          </w:p>
        </w:tc>
        <w:tc>
          <w:tcPr>
            <w:tcW w:w="3180" w:type="dxa"/>
            <w:tcMar>
              <w:top w:w="0" w:type="dxa"/>
              <w:bottom w:w="0" w:type="dxa"/>
            </w:tcMar>
            <w:vAlign w:val="center"/>
          </w:tcPr>
          <w:p w:rsidR="00757F02" w:rsidRDefault="00820E0A">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757F02" w:rsidRDefault="00820E0A">
            <w:pPr>
              <w:keepNext/>
              <w:keepLines/>
              <w:spacing w:after="0" w:line="240" w:lineRule="auto"/>
            </w:pPr>
            <w:r>
              <w:rPr>
                <w:b/>
                <w:sz w:val="18"/>
              </w:rPr>
              <w:t>X003, Y003</w:t>
            </w:r>
          </w:p>
        </w:tc>
        <w:tc>
          <w:tcPr>
            <w:tcW w:w="1860" w:type="dxa"/>
            <w:tcMar>
              <w:top w:w="0" w:type="dxa"/>
              <w:bottom w:w="0" w:type="dxa"/>
            </w:tcMar>
            <w:vAlign w:val="center"/>
          </w:tcPr>
          <w:p w:rsidR="00757F02" w:rsidRDefault="00820E0A">
            <w:pPr>
              <w:keepNext/>
              <w:keepLines/>
              <w:spacing w:after="0" w:line="240" w:lineRule="auto"/>
              <w:jc w:val="right"/>
            </w:pPr>
            <w:r>
              <w:rPr>
                <w:b/>
                <w:sz w:val="18"/>
              </w:rPr>
              <w:t>0,00</w:t>
            </w:r>
          </w:p>
        </w:tc>
        <w:tc>
          <w:tcPr>
            <w:tcW w:w="1860" w:type="dxa"/>
            <w:tcMar>
              <w:top w:w="0" w:type="dxa"/>
              <w:bottom w:w="0" w:type="dxa"/>
            </w:tcMar>
            <w:vAlign w:val="center"/>
          </w:tcPr>
          <w:p w:rsidR="00757F02" w:rsidRDefault="00820E0A">
            <w:pPr>
              <w:keepNext/>
              <w:keepLines/>
              <w:spacing w:after="0" w:line="240" w:lineRule="auto"/>
              <w:jc w:val="right"/>
            </w:pPr>
            <w:r>
              <w:rPr>
                <w:b/>
                <w:sz w:val="18"/>
              </w:rPr>
              <w:t>0,00</w:t>
            </w:r>
          </w:p>
        </w:tc>
        <w:tc>
          <w:tcPr>
            <w:tcW w:w="700" w:type="dxa"/>
            <w:tcMar>
              <w:top w:w="0" w:type="dxa"/>
              <w:bottom w:w="0" w:type="dxa"/>
            </w:tcMar>
            <w:vAlign w:val="center"/>
          </w:tcPr>
          <w:p w:rsidR="00757F02" w:rsidRDefault="00820E0A">
            <w:pPr>
              <w:keepNext/>
              <w:keepLines/>
              <w:spacing w:after="0" w:line="240" w:lineRule="auto"/>
              <w:jc w:val="right"/>
            </w:pPr>
            <w:r>
              <w:rPr>
                <w:b/>
                <w:sz w:val="18"/>
              </w:rPr>
              <w:t>-</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757F02">
            <w:pPr>
              <w:keepNext/>
              <w:keepLines/>
              <w:spacing w:after="0" w:line="240" w:lineRule="auto"/>
            </w:pPr>
          </w:p>
        </w:tc>
        <w:tc>
          <w:tcPr>
            <w:tcW w:w="3180" w:type="dxa"/>
            <w:tcMar>
              <w:top w:w="0" w:type="dxa"/>
              <w:bottom w:w="0" w:type="dxa"/>
            </w:tcMar>
            <w:vAlign w:val="center"/>
          </w:tcPr>
          <w:p w:rsidR="00757F02" w:rsidRDefault="00820E0A">
            <w:pPr>
              <w:keepNext/>
              <w:keepLines/>
              <w:spacing w:after="0" w:line="240" w:lineRule="auto"/>
            </w:pPr>
            <w:r>
              <w:rPr>
                <w:b/>
                <w:sz w:val="18"/>
              </w:rPr>
              <w:t>MANJAK PRIHODA I PRIMITAKA (šifre Y345-X678)</w:t>
            </w:r>
          </w:p>
        </w:tc>
        <w:tc>
          <w:tcPr>
            <w:tcW w:w="700" w:type="dxa"/>
            <w:tcMar>
              <w:top w:w="0" w:type="dxa"/>
              <w:bottom w:w="0" w:type="dxa"/>
            </w:tcMar>
            <w:vAlign w:val="center"/>
          </w:tcPr>
          <w:p w:rsidR="00757F02" w:rsidRDefault="00820E0A">
            <w:pPr>
              <w:keepNext/>
              <w:keepLines/>
              <w:spacing w:after="0" w:line="240" w:lineRule="auto"/>
            </w:pPr>
            <w:r>
              <w:rPr>
                <w:b/>
                <w:sz w:val="18"/>
              </w:rPr>
              <w:t>Y005</w:t>
            </w:r>
          </w:p>
        </w:tc>
        <w:tc>
          <w:tcPr>
            <w:tcW w:w="1860" w:type="dxa"/>
            <w:tcMar>
              <w:top w:w="0" w:type="dxa"/>
              <w:bottom w:w="0" w:type="dxa"/>
            </w:tcMar>
            <w:vAlign w:val="center"/>
          </w:tcPr>
          <w:p w:rsidR="00757F02" w:rsidRDefault="00820E0A">
            <w:pPr>
              <w:keepNext/>
              <w:keepLines/>
              <w:spacing w:after="0" w:line="240" w:lineRule="auto"/>
              <w:jc w:val="right"/>
            </w:pPr>
            <w:r>
              <w:rPr>
                <w:b/>
                <w:sz w:val="18"/>
              </w:rPr>
              <w:t>31.016,62</w:t>
            </w:r>
          </w:p>
        </w:tc>
        <w:tc>
          <w:tcPr>
            <w:tcW w:w="1860" w:type="dxa"/>
            <w:tcMar>
              <w:top w:w="0" w:type="dxa"/>
              <w:bottom w:w="0" w:type="dxa"/>
            </w:tcMar>
            <w:vAlign w:val="center"/>
          </w:tcPr>
          <w:p w:rsidR="00757F02" w:rsidRDefault="00820E0A">
            <w:pPr>
              <w:keepNext/>
              <w:keepLines/>
              <w:spacing w:after="0" w:line="240" w:lineRule="auto"/>
              <w:jc w:val="right"/>
            </w:pPr>
            <w:r>
              <w:rPr>
                <w:b/>
                <w:sz w:val="18"/>
              </w:rPr>
              <w:t>84.721,17</w:t>
            </w:r>
          </w:p>
        </w:tc>
        <w:tc>
          <w:tcPr>
            <w:tcW w:w="700" w:type="dxa"/>
            <w:tcMar>
              <w:top w:w="0" w:type="dxa"/>
              <w:bottom w:w="0" w:type="dxa"/>
            </w:tcMar>
            <w:vAlign w:val="center"/>
          </w:tcPr>
          <w:p w:rsidR="00757F02" w:rsidRDefault="00820E0A">
            <w:pPr>
              <w:keepNext/>
              <w:keepLines/>
              <w:spacing w:after="0" w:line="240" w:lineRule="auto"/>
              <w:jc w:val="right"/>
            </w:pPr>
            <w:r>
              <w:rPr>
                <w:b/>
                <w:sz w:val="18"/>
              </w:rPr>
              <w:t>273,1</w:t>
            </w:r>
          </w:p>
        </w:tc>
      </w:tr>
    </w:tbl>
    <w:p w:rsidR="00757F02" w:rsidRDefault="00757F02">
      <w:pPr>
        <w:spacing w:after="0"/>
      </w:pPr>
    </w:p>
    <w:p w:rsidR="00757F02" w:rsidRDefault="00820E0A">
      <w:pPr>
        <w:spacing w:line="240" w:lineRule="auto"/>
        <w:jc w:val="both"/>
      </w:pPr>
      <w:r>
        <w:t xml:space="preserve">Srednja škola Čazma posluje u skladu sa Zakonom o odgoju i </w:t>
      </w:r>
      <w:r>
        <w:t>obrazovanju u osnovnim i srednjim školama te Statutom škole. Škola vodi proračunsko računovodstvo temeljem  Zakona o proračunu (NN 144/2021) i Pravilnika o proračunskom računovodstvu i Računskom planu (NN 158/2023 i 154/24.).  Financijske izvještaje sastav</w:t>
      </w:r>
      <w:r>
        <w:t>lja i predaje u skladu s odredbama Pravilnika o proračunskom računovodstvu i Računskom planu (NN 158/23 i 154/24..),  Pravilnika o financijskom izvještavanju u proračunskom računovodstvu (NN 37/2022), te aktualnim Okružnicama Ministarstva financija. Školsk</w:t>
      </w:r>
      <w:r>
        <w:t xml:space="preserve">e i predškolske ustanove za razdoblje od </w:t>
      </w:r>
      <w:r>
        <w:lastRenderedPageBreak/>
        <w:t>1. siječnja do 30. lipnja 2025. predaju:  • Izvještaj o prihodima i rashodima, primicima i izdacima na Obrascu: PR-RAS • Obveze</w:t>
      </w:r>
    </w:p>
    <w:p w:rsidR="00757F02" w:rsidRDefault="00820E0A">
      <w:r>
        <w:br/>
      </w:r>
    </w:p>
    <w:p w:rsidR="00757F02" w:rsidRDefault="00820E0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6361</w:t>
            </w:r>
          </w:p>
        </w:tc>
        <w:tc>
          <w:tcPr>
            <w:tcW w:w="3180" w:type="dxa"/>
            <w:tcMar>
              <w:top w:w="0" w:type="dxa"/>
              <w:bottom w:w="0" w:type="dxa"/>
            </w:tcMar>
            <w:vAlign w:val="center"/>
          </w:tcPr>
          <w:p w:rsidR="00757F02" w:rsidRDefault="00820E0A">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757F02" w:rsidRDefault="00820E0A">
            <w:pPr>
              <w:keepNext/>
              <w:keepLines/>
              <w:spacing w:after="0" w:line="240" w:lineRule="auto"/>
            </w:pPr>
            <w:r>
              <w:rPr>
                <w:sz w:val="18"/>
              </w:rPr>
              <w:t>6361</w:t>
            </w:r>
          </w:p>
        </w:tc>
        <w:tc>
          <w:tcPr>
            <w:tcW w:w="1860" w:type="dxa"/>
            <w:tcMar>
              <w:top w:w="0" w:type="dxa"/>
              <w:bottom w:w="0" w:type="dxa"/>
            </w:tcMar>
            <w:vAlign w:val="center"/>
          </w:tcPr>
          <w:p w:rsidR="00757F02" w:rsidRDefault="00820E0A">
            <w:pPr>
              <w:keepNext/>
              <w:keepLines/>
              <w:spacing w:after="0" w:line="240" w:lineRule="auto"/>
              <w:jc w:val="right"/>
            </w:pPr>
            <w:r>
              <w:rPr>
                <w:sz w:val="18"/>
              </w:rPr>
              <w:t>511.381,37</w:t>
            </w:r>
          </w:p>
        </w:tc>
        <w:tc>
          <w:tcPr>
            <w:tcW w:w="1860" w:type="dxa"/>
            <w:tcMar>
              <w:top w:w="0" w:type="dxa"/>
              <w:bottom w:w="0" w:type="dxa"/>
            </w:tcMar>
            <w:vAlign w:val="center"/>
          </w:tcPr>
          <w:p w:rsidR="00757F02" w:rsidRDefault="00820E0A">
            <w:pPr>
              <w:keepNext/>
              <w:keepLines/>
              <w:spacing w:after="0" w:line="240" w:lineRule="auto"/>
              <w:jc w:val="right"/>
            </w:pPr>
            <w:r>
              <w:rPr>
                <w:sz w:val="18"/>
              </w:rPr>
              <w:t>551.821,70</w:t>
            </w:r>
          </w:p>
        </w:tc>
        <w:tc>
          <w:tcPr>
            <w:tcW w:w="700" w:type="dxa"/>
            <w:tcMar>
              <w:top w:w="0" w:type="dxa"/>
              <w:bottom w:w="0" w:type="dxa"/>
            </w:tcMar>
            <w:vAlign w:val="center"/>
          </w:tcPr>
          <w:p w:rsidR="00757F02" w:rsidRDefault="00820E0A">
            <w:pPr>
              <w:keepNext/>
              <w:keepLines/>
              <w:spacing w:after="0" w:line="240" w:lineRule="auto"/>
              <w:jc w:val="right"/>
            </w:pPr>
            <w:r>
              <w:rPr>
                <w:sz w:val="18"/>
              </w:rPr>
              <w:t>107,9</w:t>
            </w:r>
          </w:p>
        </w:tc>
      </w:tr>
    </w:tbl>
    <w:p w:rsidR="00757F02" w:rsidRDefault="00757F02">
      <w:pPr>
        <w:spacing w:after="0"/>
      </w:pPr>
    </w:p>
    <w:p w:rsidR="00757F02" w:rsidRDefault="00820E0A">
      <w:pPr>
        <w:spacing w:line="240" w:lineRule="auto"/>
        <w:jc w:val="both"/>
      </w:pPr>
      <w:r>
        <w:t xml:space="preserve">Na šifri 6361 Tekuće pomoći proračunskim korisnicima iz </w:t>
      </w:r>
      <w:r>
        <w:t>proračuna koji im nije nadležan evidentiran je iznos od 551.821,70 eura. Prihodi su to iz Ministarstva znanosti i obrazovanja, a povećani su u odnosu na isto razdoblje 2024. godine zbog rasta osnovice za plaće te koeficijenata za obračun plaće djelatnika i</w:t>
      </w:r>
      <w:r>
        <w:t xml:space="preserve"> povećanja ostalih materijalnih prava za djelatnike. Isto tako zabilježene su uplate Ministarstva za voditelje županijskih stručnih vijeća, doznačena su sredstva za nabavu menstrualnih higijenskih potrepština za učenice.</w:t>
      </w:r>
    </w:p>
    <w:p w:rsidR="00757F02" w:rsidRDefault="00757F02"/>
    <w:p w:rsidR="00757F02" w:rsidRDefault="00820E0A">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6381</w:t>
            </w:r>
          </w:p>
        </w:tc>
        <w:tc>
          <w:tcPr>
            <w:tcW w:w="3180" w:type="dxa"/>
            <w:tcMar>
              <w:top w:w="0" w:type="dxa"/>
              <w:bottom w:w="0" w:type="dxa"/>
            </w:tcMar>
            <w:vAlign w:val="center"/>
          </w:tcPr>
          <w:p w:rsidR="00757F02" w:rsidRDefault="00820E0A">
            <w:pPr>
              <w:keepNext/>
              <w:keepLines/>
              <w:spacing w:after="0" w:line="240" w:lineRule="auto"/>
            </w:pPr>
            <w:r>
              <w:rPr>
                <w:sz w:val="18"/>
              </w:rPr>
              <w:t>Tekuće pomoći temeljem prijenosa EU sredstava</w:t>
            </w:r>
          </w:p>
        </w:tc>
        <w:tc>
          <w:tcPr>
            <w:tcW w:w="700" w:type="dxa"/>
            <w:tcMar>
              <w:top w:w="0" w:type="dxa"/>
              <w:bottom w:w="0" w:type="dxa"/>
            </w:tcMar>
            <w:vAlign w:val="center"/>
          </w:tcPr>
          <w:p w:rsidR="00757F02" w:rsidRDefault="00820E0A">
            <w:pPr>
              <w:keepNext/>
              <w:keepLines/>
              <w:spacing w:after="0" w:line="240" w:lineRule="auto"/>
            </w:pPr>
            <w:r>
              <w:rPr>
                <w:sz w:val="18"/>
              </w:rPr>
              <w:t>6381</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1860" w:type="dxa"/>
            <w:tcMar>
              <w:top w:w="0" w:type="dxa"/>
              <w:bottom w:w="0" w:type="dxa"/>
            </w:tcMar>
            <w:vAlign w:val="center"/>
          </w:tcPr>
          <w:p w:rsidR="00757F02" w:rsidRDefault="00820E0A">
            <w:pPr>
              <w:keepNext/>
              <w:keepLines/>
              <w:spacing w:after="0" w:line="240" w:lineRule="auto"/>
              <w:jc w:val="right"/>
            </w:pPr>
            <w:r>
              <w:rPr>
                <w:sz w:val="18"/>
              </w:rPr>
              <w:t>7.008,40</w:t>
            </w:r>
          </w:p>
        </w:tc>
        <w:tc>
          <w:tcPr>
            <w:tcW w:w="700" w:type="dxa"/>
            <w:tcMar>
              <w:top w:w="0" w:type="dxa"/>
              <w:bottom w:w="0" w:type="dxa"/>
            </w:tcMar>
            <w:vAlign w:val="center"/>
          </w:tcPr>
          <w:p w:rsidR="00757F02" w:rsidRDefault="00820E0A">
            <w:pPr>
              <w:keepNext/>
              <w:keepLines/>
              <w:spacing w:after="0" w:line="240" w:lineRule="auto"/>
              <w:jc w:val="right"/>
            </w:pPr>
            <w:r>
              <w:rPr>
                <w:sz w:val="18"/>
              </w:rPr>
              <w:t>-</w:t>
            </w:r>
          </w:p>
        </w:tc>
      </w:tr>
    </w:tbl>
    <w:p w:rsidR="00757F02" w:rsidRDefault="00757F02">
      <w:pPr>
        <w:spacing w:after="0"/>
      </w:pPr>
    </w:p>
    <w:p w:rsidR="00757F02" w:rsidRDefault="00820E0A">
      <w:pPr>
        <w:spacing w:line="240" w:lineRule="auto"/>
        <w:jc w:val="both"/>
      </w:pPr>
      <w:r>
        <w:t xml:space="preserve">Početkom 2025. godine uplaćen je preostali iznos, </w:t>
      </w:r>
      <w:r>
        <w:t xml:space="preserve">prema završnom izvješću, za projekt </w:t>
      </w:r>
      <w:proofErr w:type="spellStart"/>
      <w:r>
        <w:t>Erasmus</w:t>
      </w:r>
      <w:proofErr w:type="spellEnd"/>
      <w:r>
        <w:t>+, dok u 2024. godini nije bilo uplate prihoda po projektu.</w:t>
      </w:r>
    </w:p>
    <w:p w:rsidR="00757F02" w:rsidRDefault="00757F02"/>
    <w:p w:rsidR="00757F02" w:rsidRDefault="00820E0A">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w:t>
            </w:r>
            <w:r>
              <w:rPr>
                <w:b/>
                <w:sz w:val="18"/>
              </w:rPr>
              <w:t>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6382</w:t>
            </w:r>
          </w:p>
        </w:tc>
        <w:tc>
          <w:tcPr>
            <w:tcW w:w="3180" w:type="dxa"/>
            <w:tcMar>
              <w:top w:w="0" w:type="dxa"/>
              <w:bottom w:w="0" w:type="dxa"/>
            </w:tcMar>
            <w:vAlign w:val="center"/>
          </w:tcPr>
          <w:p w:rsidR="00757F02" w:rsidRDefault="00820E0A">
            <w:pPr>
              <w:keepNext/>
              <w:keepLines/>
              <w:spacing w:after="0" w:line="240" w:lineRule="auto"/>
            </w:pPr>
            <w:r>
              <w:rPr>
                <w:sz w:val="18"/>
              </w:rPr>
              <w:t>Kapitalne pomoći temeljem prijenosa EU sredstava</w:t>
            </w:r>
          </w:p>
        </w:tc>
        <w:tc>
          <w:tcPr>
            <w:tcW w:w="700" w:type="dxa"/>
            <w:tcMar>
              <w:top w:w="0" w:type="dxa"/>
              <w:bottom w:w="0" w:type="dxa"/>
            </w:tcMar>
            <w:vAlign w:val="center"/>
          </w:tcPr>
          <w:p w:rsidR="00757F02" w:rsidRDefault="00820E0A">
            <w:pPr>
              <w:keepNext/>
              <w:keepLines/>
              <w:spacing w:after="0" w:line="240" w:lineRule="auto"/>
            </w:pPr>
            <w:r>
              <w:rPr>
                <w:sz w:val="18"/>
              </w:rPr>
              <w:t>6382</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1860" w:type="dxa"/>
            <w:tcMar>
              <w:top w:w="0" w:type="dxa"/>
              <w:bottom w:w="0" w:type="dxa"/>
            </w:tcMar>
            <w:vAlign w:val="center"/>
          </w:tcPr>
          <w:p w:rsidR="00757F02" w:rsidRDefault="00820E0A">
            <w:pPr>
              <w:keepNext/>
              <w:keepLines/>
              <w:spacing w:after="0" w:line="240" w:lineRule="auto"/>
              <w:jc w:val="right"/>
            </w:pPr>
            <w:r>
              <w:rPr>
                <w:sz w:val="18"/>
              </w:rPr>
              <w:t>13.774,13</w:t>
            </w:r>
          </w:p>
        </w:tc>
        <w:tc>
          <w:tcPr>
            <w:tcW w:w="700" w:type="dxa"/>
            <w:tcMar>
              <w:top w:w="0" w:type="dxa"/>
              <w:bottom w:w="0" w:type="dxa"/>
            </w:tcMar>
            <w:vAlign w:val="center"/>
          </w:tcPr>
          <w:p w:rsidR="00757F02" w:rsidRDefault="00820E0A">
            <w:pPr>
              <w:keepNext/>
              <w:keepLines/>
              <w:spacing w:after="0" w:line="240" w:lineRule="auto"/>
              <w:jc w:val="right"/>
            </w:pPr>
            <w:r>
              <w:rPr>
                <w:sz w:val="18"/>
              </w:rPr>
              <w:t>-</w:t>
            </w:r>
          </w:p>
        </w:tc>
      </w:tr>
    </w:tbl>
    <w:p w:rsidR="00757F02" w:rsidRDefault="00757F02">
      <w:pPr>
        <w:spacing w:after="0"/>
      </w:pPr>
    </w:p>
    <w:p w:rsidR="00757F02" w:rsidRDefault="00820E0A">
      <w:pPr>
        <w:spacing w:line="240" w:lineRule="auto"/>
        <w:jc w:val="both"/>
      </w:pPr>
      <w:r>
        <w:t xml:space="preserve">Školi su uplaćena sredstva Ministarstva regionalnog razvoja i fondova EU za </w:t>
      </w:r>
      <w:proofErr w:type="spellStart"/>
      <w:r>
        <w:t>pretfinanciranje</w:t>
      </w:r>
      <w:proofErr w:type="spellEnd"/>
      <w:r>
        <w:t xml:space="preserve"> projekta Dom školskog centra Čazma za izradu projektne dokumentacije i </w:t>
      </w:r>
      <w:r>
        <w:t>ishođenje građevinske dozvole.</w:t>
      </w:r>
    </w:p>
    <w:p w:rsidR="00757F02" w:rsidRDefault="00757F02"/>
    <w:p w:rsidR="00757F02" w:rsidRDefault="00820E0A">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6422</w:t>
            </w:r>
          </w:p>
        </w:tc>
        <w:tc>
          <w:tcPr>
            <w:tcW w:w="3180" w:type="dxa"/>
            <w:tcMar>
              <w:top w:w="0" w:type="dxa"/>
              <w:bottom w:w="0" w:type="dxa"/>
            </w:tcMar>
            <w:vAlign w:val="center"/>
          </w:tcPr>
          <w:p w:rsidR="00757F02" w:rsidRDefault="00820E0A">
            <w:pPr>
              <w:keepNext/>
              <w:keepLines/>
              <w:spacing w:after="0" w:line="240" w:lineRule="auto"/>
            </w:pPr>
            <w:r>
              <w:rPr>
                <w:sz w:val="18"/>
              </w:rPr>
              <w:t>Prihodi od zakupa i iznajmljivanja imovine</w:t>
            </w:r>
          </w:p>
        </w:tc>
        <w:tc>
          <w:tcPr>
            <w:tcW w:w="700" w:type="dxa"/>
            <w:tcMar>
              <w:top w:w="0" w:type="dxa"/>
              <w:bottom w:w="0" w:type="dxa"/>
            </w:tcMar>
            <w:vAlign w:val="center"/>
          </w:tcPr>
          <w:p w:rsidR="00757F02" w:rsidRDefault="00820E0A">
            <w:pPr>
              <w:keepNext/>
              <w:keepLines/>
              <w:spacing w:after="0" w:line="240" w:lineRule="auto"/>
            </w:pPr>
            <w:r>
              <w:rPr>
                <w:sz w:val="18"/>
              </w:rPr>
              <w:t>6422</w:t>
            </w:r>
          </w:p>
        </w:tc>
        <w:tc>
          <w:tcPr>
            <w:tcW w:w="1860" w:type="dxa"/>
            <w:tcMar>
              <w:top w:w="0" w:type="dxa"/>
              <w:bottom w:w="0" w:type="dxa"/>
            </w:tcMar>
            <w:vAlign w:val="center"/>
          </w:tcPr>
          <w:p w:rsidR="00757F02" w:rsidRDefault="00820E0A">
            <w:pPr>
              <w:keepNext/>
              <w:keepLines/>
              <w:spacing w:after="0" w:line="240" w:lineRule="auto"/>
              <w:jc w:val="right"/>
            </w:pPr>
            <w:r>
              <w:rPr>
                <w:sz w:val="18"/>
              </w:rPr>
              <w:t>494,00</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700" w:type="dxa"/>
            <w:tcMar>
              <w:top w:w="0" w:type="dxa"/>
              <w:bottom w:w="0" w:type="dxa"/>
            </w:tcMar>
            <w:vAlign w:val="center"/>
          </w:tcPr>
          <w:p w:rsidR="00757F02" w:rsidRDefault="00820E0A">
            <w:pPr>
              <w:keepNext/>
              <w:keepLines/>
              <w:spacing w:after="0" w:line="240" w:lineRule="auto"/>
              <w:jc w:val="right"/>
            </w:pPr>
            <w:r>
              <w:rPr>
                <w:sz w:val="18"/>
              </w:rPr>
              <w:t>0</w:t>
            </w:r>
          </w:p>
        </w:tc>
      </w:tr>
    </w:tbl>
    <w:p w:rsidR="00757F02" w:rsidRDefault="00757F02">
      <w:pPr>
        <w:spacing w:after="0"/>
      </w:pPr>
    </w:p>
    <w:p w:rsidR="00757F02" w:rsidRDefault="00820E0A">
      <w:pPr>
        <w:spacing w:line="240" w:lineRule="auto"/>
        <w:jc w:val="both"/>
      </w:pPr>
      <w:r>
        <w:t>U ovom izvještajnom razdoblju je knjiženje prihoda od kupaca kojima škola iznajmljuje prostor zabilježeno na kontu 6615 Prihodi od pruženih usluga, za razliku od prošlogodišnjeg konta 6422 koji nije namijenjen za proračunske korisnike.</w:t>
      </w:r>
    </w:p>
    <w:p w:rsidR="00757F02" w:rsidRDefault="00757F02"/>
    <w:p w:rsidR="00757F02" w:rsidRDefault="00820E0A">
      <w:pPr>
        <w:keepNext/>
        <w:spacing w:line="240" w:lineRule="auto"/>
        <w:jc w:val="center"/>
      </w:pPr>
      <w:r>
        <w:rPr>
          <w:sz w:val="28"/>
        </w:rPr>
        <w:t xml:space="preserve">Bilješka </w:t>
      </w:r>
      <w:r>
        <w:rPr>
          <w:sz w:val="28"/>
        </w:rPr>
        <w:t>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6711</w:t>
            </w:r>
          </w:p>
        </w:tc>
        <w:tc>
          <w:tcPr>
            <w:tcW w:w="3180" w:type="dxa"/>
            <w:tcMar>
              <w:top w:w="0" w:type="dxa"/>
              <w:bottom w:w="0" w:type="dxa"/>
            </w:tcMar>
            <w:vAlign w:val="center"/>
          </w:tcPr>
          <w:p w:rsidR="00757F02" w:rsidRDefault="00820E0A">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757F02" w:rsidRDefault="00820E0A">
            <w:pPr>
              <w:keepNext/>
              <w:keepLines/>
              <w:spacing w:after="0" w:line="240" w:lineRule="auto"/>
            </w:pPr>
            <w:r>
              <w:rPr>
                <w:sz w:val="18"/>
              </w:rPr>
              <w:t>6711</w:t>
            </w:r>
          </w:p>
        </w:tc>
        <w:tc>
          <w:tcPr>
            <w:tcW w:w="1860" w:type="dxa"/>
            <w:tcMar>
              <w:top w:w="0" w:type="dxa"/>
              <w:bottom w:w="0" w:type="dxa"/>
            </w:tcMar>
            <w:vAlign w:val="center"/>
          </w:tcPr>
          <w:p w:rsidR="00757F02" w:rsidRDefault="00820E0A">
            <w:pPr>
              <w:keepNext/>
              <w:keepLines/>
              <w:spacing w:after="0" w:line="240" w:lineRule="auto"/>
              <w:jc w:val="right"/>
            </w:pPr>
            <w:r>
              <w:rPr>
                <w:sz w:val="18"/>
              </w:rPr>
              <w:t>41.977,72</w:t>
            </w:r>
          </w:p>
        </w:tc>
        <w:tc>
          <w:tcPr>
            <w:tcW w:w="1860" w:type="dxa"/>
            <w:tcMar>
              <w:top w:w="0" w:type="dxa"/>
              <w:bottom w:w="0" w:type="dxa"/>
            </w:tcMar>
            <w:vAlign w:val="center"/>
          </w:tcPr>
          <w:p w:rsidR="00757F02" w:rsidRDefault="00820E0A">
            <w:pPr>
              <w:keepNext/>
              <w:keepLines/>
              <w:spacing w:after="0" w:line="240" w:lineRule="auto"/>
              <w:jc w:val="right"/>
            </w:pPr>
            <w:r>
              <w:rPr>
                <w:sz w:val="18"/>
              </w:rPr>
              <w:t>62.485,26</w:t>
            </w:r>
          </w:p>
        </w:tc>
        <w:tc>
          <w:tcPr>
            <w:tcW w:w="700" w:type="dxa"/>
            <w:tcMar>
              <w:top w:w="0" w:type="dxa"/>
              <w:bottom w:w="0" w:type="dxa"/>
            </w:tcMar>
            <w:vAlign w:val="center"/>
          </w:tcPr>
          <w:p w:rsidR="00757F02" w:rsidRDefault="00820E0A">
            <w:pPr>
              <w:keepNext/>
              <w:keepLines/>
              <w:spacing w:after="0" w:line="240" w:lineRule="auto"/>
              <w:jc w:val="right"/>
            </w:pPr>
            <w:r>
              <w:rPr>
                <w:sz w:val="18"/>
              </w:rPr>
              <w:t>148,9</w:t>
            </w:r>
          </w:p>
        </w:tc>
      </w:tr>
    </w:tbl>
    <w:p w:rsidR="00757F02" w:rsidRDefault="00757F02">
      <w:pPr>
        <w:spacing w:after="0"/>
      </w:pPr>
    </w:p>
    <w:p w:rsidR="00757F02" w:rsidRDefault="00820E0A">
      <w:pPr>
        <w:spacing w:line="240" w:lineRule="auto"/>
        <w:jc w:val="both"/>
      </w:pPr>
      <w:r>
        <w:t>Na šifri 6711 Prihodi iz nadležnog proračuna za financiranje rashoda poslovanja evidentiran je iznos od 62.485,26 eura koji se odnosi na prihode iz nadležnog proračuna, Bjelovarsko-bilogorske županije, dospjele prema mjesečnim zahtjevima proračunskog kor</w:t>
      </w:r>
      <w:r>
        <w:t>isnika. Iznos je povećan u odnosu na isto razdoblje 2024. godine zbog priljeva prihoda od strane osnivača u siječnju za rashode nastale u prosincu 2024. godine, što prošle godine nije bio slučaj.</w:t>
      </w:r>
    </w:p>
    <w:p w:rsidR="00757F02" w:rsidRDefault="00757F02"/>
    <w:p w:rsidR="00757F02" w:rsidRDefault="00820E0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3111</w:t>
            </w:r>
          </w:p>
        </w:tc>
        <w:tc>
          <w:tcPr>
            <w:tcW w:w="3180" w:type="dxa"/>
            <w:tcMar>
              <w:top w:w="0" w:type="dxa"/>
              <w:bottom w:w="0" w:type="dxa"/>
            </w:tcMar>
            <w:vAlign w:val="center"/>
          </w:tcPr>
          <w:p w:rsidR="00757F02" w:rsidRDefault="00820E0A">
            <w:pPr>
              <w:keepNext/>
              <w:keepLines/>
              <w:spacing w:after="0" w:line="240" w:lineRule="auto"/>
            </w:pPr>
            <w:r>
              <w:rPr>
                <w:sz w:val="18"/>
              </w:rPr>
              <w:t>Plaće za redovan rad</w:t>
            </w:r>
          </w:p>
        </w:tc>
        <w:tc>
          <w:tcPr>
            <w:tcW w:w="700" w:type="dxa"/>
            <w:tcMar>
              <w:top w:w="0" w:type="dxa"/>
              <w:bottom w:w="0" w:type="dxa"/>
            </w:tcMar>
            <w:vAlign w:val="center"/>
          </w:tcPr>
          <w:p w:rsidR="00757F02" w:rsidRDefault="00820E0A">
            <w:pPr>
              <w:keepNext/>
              <w:keepLines/>
              <w:spacing w:after="0" w:line="240" w:lineRule="auto"/>
            </w:pPr>
            <w:r>
              <w:rPr>
                <w:sz w:val="18"/>
              </w:rPr>
              <w:t>3111</w:t>
            </w:r>
          </w:p>
        </w:tc>
        <w:tc>
          <w:tcPr>
            <w:tcW w:w="1860" w:type="dxa"/>
            <w:tcMar>
              <w:top w:w="0" w:type="dxa"/>
              <w:bottom w:w="0" w:type="dxa"/>
            </w:tcMar>
            <w:vAlign w:val="center"/>
          </w:tcPr>
          <w:p w:rsidR="00757F02" w:rsidRDefault="00820E0A">
            <w:pPr>
              <w:keepNext/>
              <w:keepLines/>
              <w:spacing w:after="0" w:line="240" w:lineRule="auto"/>
              <w:jc w:val="right"/>
            </w:pPr>
            <w:r>
              <w:rPr>
                <w:sz w:val="18"/>
              </w:rPr>
              <w:t>417.280,52</w:t>
            </w:r>
          </w:p>
        </w:tc>
        <w:tc>
          <w:tcPr>
            <w:tcW w:w="1860" w:type="dxa"/>
            <w:tcMar>
              <w:top w:w="0" w:type="dxa"/>
              <w:bottom w:w="0" w:type="dxa"/>
            </w:tcMar>
            <w:vAlign w:val="center"/>
          </w:tcPr>
          <w:p w:rsidR="00757F02" w:rsidRDefault="00820E0A">
            <w:pPr>
              <w:keepNext/>
              <w:keepLines/>
              <w:spacing w:after="0" w:line="240" w:lineRule="auto"/>
              <w:jc w:val="right"/>
            </w:pPr>
            <w:r>
              <w:rPr>
                <w:sz w:val="18"/>
              </w:rPr>
              <w:t>531.783,87</w:t>
            </w:r>
          </w:p>
        </w:tc>
        <w:tc>
          <w:tcPr>
            <w:tcW w:w="700" w:type="dxa"/>
            <w:tcMar>
              <w:top w:w="0" w:type="dxa"/>
              <w:bottom w:w="0" w:type="dxa"/>
            </w:tcMar>
            <w:vAlign w:val="center"/>
          </w:tcPr>
          <w:p w:rsidR="00757F02" w:rsidRDefault="00820E0A">
            <w:pPr>
              <w:keepNext/>
              <w:keepLines/>
              <w:spacing w:after="0" w:line="240" w:lineRule="auto"/>
              <w:jc w:val="right"/>
            </w:pPr>
            <w:r>
              <w:rPr>
                <w:sz w:val="18"/>
              </w:rPr>
              <w:t>127,4</w:t>
            </w:r>
          </w:p>
        </w:tc>
      </w:tr>
    </w:tbl>
    <w:p w:rsidR="00757F02" w:rsidRDefault="00757F02">
      <w:pPr>
        <w:spacing w:after="0"/>
      </w:pPr>
    </w:p>
    <w:p w:rsidR="00757F02" w:rsidRDefault="00820E0A">
      <w:pPr>
        <w:spacing w:line="240" w:lineRule="auto"/>
        <w:jc w:val="both"/>
      </w:pPr>
      <w:r>
        <w:t xml:space="preserve">Prema novom Pravilniku o proračunskom računovodstvu i Računskom planu (NN 158/23) i </w:t>
      </w:r>
      <w:r>
        <w:t xml:space="preserve">Pravilniku o izmjenama i dopunama Pravilnika o proračunskom računovodstvu i Računskom planu (NN 154/24) ukinuta je podskupina računa 193 Kontinuirani rashodi budućih razdoblja na koju bi se po starom Pravilniku knjižila plaća za lipanj, odnosno plaća koja </w:t>
      </w:r>
      <w:r>
        <w:t xml:space="preserve">nije isplaćena na zadnji dan izvještajnog razdoblja.  Rashodi za zaposlene porasli su i zbog rasta osnovice za obračun plaće u odnosu na prvi dio 2024. godine, te rasta koeficijenata zaposlenicima javnih službi prema novom Temeljnom kolektivnom ugovoru za </w:t>
      </w:r>
      <w:r>
        <w:t>zaposlenike u javnim službama donesenim 1. ožujka 2024. godine.</w:t>
      </w:r>
    </w:p>
    <w:p w:rsidR="00757F02" w:rsidRDefault="00757F02"/>
    <w:p w:rsidR="00757F02" w:rsidRDefault="00820E0A">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3132</w:t>
            </w:r>
          </w:p>
        </w:tc>
        <w:tc>
          <w:tcPr>
            <w:tcW w:w="3180" w:type="dxa"/>
            <w:tcMar>
              <w:top w:w="0" w:type="dxa"/>
              <w:bottom w:w="0" w:type="dxa"/>
            </w:tcMar>
            <w:vAlign w:val="center"/>
          </w:tcPr>
          <w:p w:rsidR="00757F02" w:rsidRDefault="00820E0A">
            <w:pPr>
              <w:keepNext/>
              <w:keepLines/>
              <w:spacing w:after="0" w:line="240" w:lineRule="auto"/>
            </w:pPr>
            <w:r>
              <w:rPr>
                <w:sz w:val="18"/>
              </w:rPr>
              <w:t xml:space="preserve">Doprinosi za obvezno </w:t>
            </w:r>
            <w:r>
              <w:rPr>
                <w:sz w:val="18"/>
              </w:rPr>
              <w:t>zdravstveno osiguranje</w:t>
            </w:r>
          </w:p>
        </w:tc>
        <w:tc>
          <w:tcPr>
            <w:tcW w:w="700" w:type="dxa"/>
            <w:tcMar>
              <w:top w:w="0" w:type="dxa"/>
              <w:bottom w:w="0" w:type="dxa"/>
            </w:tcMar>
            <w:vAlign w:val="center"/>
          </w:tcPr>
          <w:p w:rsidR="00757F02" w:rsidRDefault="00820E0A">
            <w:pPr>
              <w:keepNext/>
              <w:keepLines/>
              <w:spacing w:after="0" w:line="240" w:lineRule="auto"/>
            </w:pPr>
            <w:r>
              <w:rPr>
                <w:sz w:val="18"/>
              </w:rPr>
              <w:t>3132</w:t>
            </w:r>
          </w:p>
        </w:tc>
        <w:tc>
          <w:tcPr>
            <w:tcW w:w="1860" w:type="dxa"/>
            <w:tcMar>
              <w:top w:w="0" w:type="dxa"/>
              <w:bottom w:w="0" w:type="dxa"/>
            </w:tcMar>
            <w:vAlign w:val="center"/>
          </w:tcPr>
          <w:p w:rsidR="00757F02" w:rsidRDefault="00820E0A">
            <w:pPr>
              <w:keepNext/>
              <w:keepLines/>
              <w:spacing w:after="0" w:line="240" w:lineRule="auto"/>
              <w:jc w:val="right"/>
            </w:pPr>
            <w:r>
              <w:rPr>
                <w:sz w:val="18"/>
              </w:rPr>
              <w:t>68.851,36</w:t>
            </w:r>
          </w:p>
        </w:tc>
        <w:tc>
          <w:tcPr>
            <w:tcW w:w="1860" w:type="dxa"/>
            <w:tcMar>
              <w:top w:w="0" w:type="dxa"/>
              <w:bottom w:w="0" w:type="dxa"/>
            </w:tcMar>
            <w:vAlign w:val="center"/>
          </w:tcPr>
          <w:p w:rsidR="00757F02" w:rsidRDefault="00820E0A">
            <w:pPr>
              <w:keepNext/>
              <w:keepLines/>
              <w:spacing w:after="0" w:line="240" w:lineRule="auto"/>
              <w:jc w:val="right"/>
            </w:pPr>
            <w:r>
              <w:rPr>
                <w:sz w:val="18"/>
              </w:rPr>
              <w:t>87.812,14</w:t>
            </w:r>
          </w:p>
        </w:tc>
        <w:tc>
          <w:tcPr>
            <w:tcW w:w="700" w:type="dxa"/>
            <w:tcMar>
              <w:top w:w="0" w:type="dxa"/>
              <w:bottom w:w="0" w:type="dxa"/>
            </w:tcMar>
            <w:vAlign w:val="center"/>
          </w:tcPr>
          <w:p w:rsidR="00757F02" w:rsidRDefault="00820E0A">
            <w:pPr>
              <w:keepNext/>
              <w:keepLines/>
              <w:spacing w:after="0" w:line="240" w:lineRule="auto"/>
              <w:jc w:val="right"/>
            </w:pPr>
            <w:r>
              <w:rPr>
                <w:sz w:val="18"/>
              </w:rPr>
              <w:t>127,5</w:t>
            </w:r>
          </w:p>
        </w:tc>
      </w:tr>
    </w:tbl>
    <w:p w:rsidR="00757F02" w:rsidRDefault="00757F02">
      <w:pPr>
        <w:spacing w:after="0"/>
      </w:pPr>
    </w:p>
    <w:p w:rsidR="00757F02" w:rsidRDefault="00820E0A">
      <w:pPr>
        <w:spacing w:line="240" w:lineRule="auto"/>
        <w:jc w:val="both"/>
      </w:pPr>
      <w:r>
        <w:t>Iz istog razloga navedenog pod bilješkom uz šifru 3111 povećan je i iznos za doprinose za obvezno zdravstveno osiguranje.</w:t>
      </w:r>
    </w:p>
    <w:p w:rsidR="00757F02" w:rsidRDefault="00757F02"/>
    <w:p w:rsidR="00757F02" w:rsidRDefault="00820E0A">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3222</w:t>
            </w:r>
          </w:p>
        </w:tc>
        <w:tc>
          <w:tcPr>
            <w:tcW w:w="3180" w:type="dxa"/>
            <w:tcMar>
              <w:top w:w="0" w:type="dxa"/>
              <w:bottom w:w="0" w:type="dxa"/>
            </w:tcMar>
            <w:vAlign w:val="center"/>
          </w:tcPr>
          <w:p w:rsidR="00757F02" w:rsidRDefault="00820E0A">
            <w:pPr>
              <w:keepNext/>
              <w:keepLines/>
              <w:spacing w:after="0" w:line="240" w:lineRule="auto"/>
            </w:pPr>
            <w:r>
              <w:rPr>
                <w:sz w:val="18"/>
              </w:rPr>
              <w:t>Materijal i sirovine</w:t>
            </w:r>
          </w:p>
        </w:tc>
        <w:tc>
          <w:tcPr>
            <w:tcW w:w="700" w:type="dxa"/>
            <w:tcMar>
              <w:top w:w="0" w:type="dxa"/>
              <w:bottom w:w="0" w:type="dxa"/>
            </w:tcMar>
            <w:vAlign w:val="center"/>
          </w:tcPr>
          <w:p w:rsidR="00757F02" w:rsidRDefault="00820E0A">
            <w:pPr>
              <w:keepNext/>
              <w:keepLines/>
              <w:spacing w:after="0" w:line="240" w:lineRule="auto"/>
            </w:pPr>
            <w:r>
              <w:rPr>
                <w:sz w:val="18"/>
              </w:rPr>
              <w:t>3222</w:t>
            </w:r>
          </w:p>
        </w:tc>
        <w:tc>
          <w:tcPr>
            <w:tcW w:w="1860" w:type="dxa"/>
            <w:tcMar>
              <w:top w:w="0" w:type="dxa"/>
              <w:bottom w:w="0" w:type="dxa"/>
            </w:tcMar>
            <w:vAlign w:val="center"/>
          </w:tcPr>
          <w:p w:rsidR="00757F02" w:rsidRDefault="00820E0A">
            <w:pPr>
              <w:keepNext/>
              <w:keepLines/>
              <w:spacing w:after="0" w:line="240" w:lineRule="auto"/>
              <w:jc w:val="right"/>
            </w:pPr>
            <w:r>
              <w:rPr>
                <w:sz w:val="18"/>
              </w:rPr>
              <w:t>472,18</w:t>
            </w:r>
          </w:p>
        </w:tc>
        <w:tc>
          <w:tcPr>
            <w:tcW w:w="1860" w:type="dxa"/>
            <w:tcMar>
              <w:top w:w="0" w:type="dxa"/>
              <w:bottom w:w="0" w:type="dxa"/>
            </w:tcMar>
            <w:vAlign w:val="center"/>
          </w:tcPr>
          <w:p w:rsidR="00757F02" w:rsidRDefault="00820E0A">
            <w:pPr>
              <w:keepNext/>
              <w:keepLines/>
              <w:spacing w:after="0" w:line="240" w:lineRule="auto"/>
              <w:jc w:val="right"/>
            </w:pPr>
            <w:r>
              <w:rPr>
                <w:sz w:val="18"/>
              </w:rPr>
              <w:t>1.032,69</w:t>
            </w:r>
          </w:p>
        </w:tc>
        <w:tc>
          <w:tcPr>
            <w:tcW w:w="700" w:type="dxa"/>
            <w:tcMar>
              <w:top w:w="0" w:type="dxa"/>
              <w:bottom w:w="0" w:type="dxa"/>
            </w:tcMar>
            <w:vAlign w:val="center"/>
          </w:tcPr>
          <w:p w:rsidR="00757F02" w:rsidRDefault="00820E0A">
            <w:pPr>
              <w:keepNext/>
              <w:keepLines/>
              <w:spacing w:after="0" w:line="240" w:lineRule="auto"/>
              <w:jc w:val="right"/>
            </w:pPr>
            <w:r>
              <w:rPr>
                <w:sz w:val="18"/>
              </w:rPr>
              <w:t>218,7</w:t>
            </w:r>
          </w:p>
        </w:tc>
      </w:tr>
    </w:tbl>
    <w:p w:rsidR="00757F02" w:rsidRDefault="00757F02">
      <w:pPr>
        <w:spacing w:after="0"/>
      </w:pPr>
    </w:p>
    <w:p w:rsidR="00757F02" w:rsidRDefault="00820E0A">
      <w:pPr>
        <w:spacing w:line="240" w:lineRule="auto"/>
        <w:jc w:val="both"/>
      </w:pPr>
      <w:r>
        <w:t>Škola je sudjelovala u projektu Školska shema voća više mjeseci nego u istom razdoblju prošle godine.</w:t>
      </w:r>
    </w:p>
    <w:p w:rsidR="00757F02" w:rsidRDefault="00757F02"/>
    <w:p w:rsidR="00757F02" w:rsidRDefault="00820E0A">
      <w:pPr>
        <w:keepNext/>
        <w:spacing w:line="240" w:lineRule="auto"/>
        <w:jc w:val="center"/>
      </w:pPr>
      <w:r>
        <w:rPr>
          <w:sz w:val="28"/>
        </w:rPr>
        <w:t xml:space="preserve">Bilješka </w:t>
      </w:r>
      <w:r>
        <w:rPr>
          <w:sz w:val="28"/>
        </w:rPr>
        <w:t>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3227</w:t>
            </w:r>
          </w:p>
        </w:tc>
        <w:tc>
          <w:tcPr>
            <w:tcW w:w="3180" w:type="dxa"/>
            <w:tcMar>
              <w:top w:w="0" w:type="dxa"/>
              <w:bottom w:w="0" w:type="dxa"/>
            </w:tcMar>
            <w:vAlign w:val="center"/>
          </w:tcPr>
          <w:p w:rsidR="00757F02" w:rsidRDefault="00820E0A">
            <w:pPr>
              <w:keepNext/>
              <w:keepLines/>
              <w:spacing w:after="0" w:line="240" w:lineRule="auto"/>
            </w:pPr>
            <w:r>
              <w:rPr>
                <w:sz w:val="18"/>
              </w:rPr>
              <w:t>Službena, radna i zaštitna odjeća i obuća</w:t>
            </w:r>
          </w:p>
        </w:tc>
        <w:tc>
          <w:tcPr>
            <w:tcW w:w="700" w:type="dxa"/>
            <w:tcMar>
              <w:top w:w="0" w:type="dxa"/>
              <w:bottom w:w="0" w:type="dxa"/>
            </w:tcMar>
            <w:vAlign w:val="center"/>
          </w:tcPr>
          <w:p w:rsidR="00757F02" w:rsidRDefault="00820E0A">
            <w:pPr>
              <w:keepNext/>
              <w:keepLines/>
              <w:spacing w:after="0" w:line="240" w:lineRule="auto"/>
            </w:pPr>
            <w:r>
              <w:rPr>
                <w:sz w:val="18"/>
              </w:rPr>
              <w:t>3227</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1860" w:type="dxa"/>
            <w:tcMar>
              <w:top w:w="0" w:type="dxa"/>
              <w:bottom w:w="0" w:type="dxa"/>
            </w:tcMar>
            <w:vAlign w:val="center"/>
          </w:tcPr>
          <w:p w:rsidR="00757F02" w:rsidRDefault="00820E0A">
            <w:pPr>
              <w:keepNext/>
              <w:keepLines/>
              <w:spacing w:after="0" w:line="240" w:lineRule="auto"/>
              <w:jc w:val="right"/>
            </w:pPr>
            <w:r>
              <w:rPr>
                <w:sz w:val="18"/>
              </w:rPr>
              <w:t>194,85</w:t>
            </w:r>
          </w:p>
        </w:tc>
        <w:tc>
          <w:tcPr>
            <w:tcW w:w="700" w:type="dxa"/>
            <w:tcMar>
              <w:top w:w="0" w:type="dxa"/>
              <w:bottom w:w="0" w:type="dxa"/>
            </w:tcMar>
            <w:vAlign w:val="center"/>
          </w:tcPr>
          <w:p w:rsidR="00757F02" w:rsidRDefault="00820E0A">
            <w:pPr>
              <w:keepNext/>
              <w:keepLines/>
              <w:spacing w:after="0" w:line="240" w:lineRule="auto"/>
              <w:jc w:val="right"/>
            </w:pPr>
            <w:r>
              <w:rPr>
                <w:sz w:val="18"/>
              </w:rPr>
              <w:t>-</w:t>
            </w:r>
          </w:p>
        </w:tc>
      </w:tr>
    </w:tbl>
    <w:p w:rsidR="00757F02" w:rsidRDefault="00757F02">
      <w:pPr>
        <w:spacing w:after="0"/>
      </w:pPr>
    </w:p>
    <w:p w:rsidR="00757F02" w:rsidRDefault="00820E0A">
      <w:pPr>
        <w:spacing w:line="240" w:lineRule="auto"/>
        <w:jc w:val="both"/>
      </w:pPr>
      <w:r>
        <w:t xml:space="preserve">U 2025. godini nabavljena je </w:t>
      </w:r>
      <w:r>
        <w:t>radna obuća za spremačice.</w:t>
      </w:r>
    </w:p>
    <w:p w:rsidR="00757F02" w:rsidRDefault="00757F02"/>
    <w:p w:rsidR="00757F02" w:rsidRDefault="00820E0A">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3231</w:t>
            </w:r>
          </w:p>
        </w:tc>
        <w:tc>
          <w:tcPr>
            <w:tcW w:w="3180" w:type="dxa"/>
            <w:tcMar>
              <w:top w:w="0" w:type="dxa"/>
              <w:bottom w:w="0" w:type="dxa"/>
            </w:tcMar>
            <w:vAlign w:val="center"/>
          </w:tcPr>
          <w:p w:rsidR="00757F02" w:rsidRDefault="00820E0A">
            <w:pPr>
              <w:keepNext/>
              <w:keepLines/>
              <w:spacing w:after="0" w:line="240" w:lineRule="auto"/>
            </w:pPr>
            <w:r>
              <w:rPr>
                <w:sz w:val="18"/>
              </w:rPr>
              <w:t>Usluge telefona, interneta, pošte i prijevoza</w:t>
            </w:r>
          </w:p>
        </w:tc>
        <w:tc>
          <w:tcPr>
            <w:tcW w:w="700" w:type="dxa"/>
            <w:tcMar>
              <w:top w:w="0" w:type="dxa"/>
              <w:bottom w:w="0" w:type="dxa"/>
            </w:tcMar>
            <w:vAlign w:val="center"/>
          </w:tcPr>
          <w:p w:rsidR="00757F02" w:rsidRDefault="00820E0A">
            <w:pPr>
              <w:keepNext/>
              <w:keepLines/>
              <w:spacing w:after="0" w:line="240" w:lineRule="auto"/>
            </w:pPr>
            <w:r>
              <w:rPr>
                <w:sz w:val="18"/>
              </w:rPr>
              <w:t>3231</w:t>
            </w:r>
          </w:p>
        </w:tc>
        <w:tc>
          <w:tcPr>
            <w:tcW w:w="1860" w:type="dxa"/>
            <w:tcMar>
              <w:top w:w="0" w:type="dxa"/>
              <w:bottom w:w="0" w:type="dxa"/>
            </w:tcMar>
            <w:vAlign w:val="center"/>
          </w:tcPr>
          <w:p w:rsidR="00757F02" w:rsidRDefault="00820E0A">
            <w:pPr>
              <w:keepNext/>
              <w:keepLines/>
              <w:spacing w:after="0" w:line="240" w:lineRule="auto"/>
              <w:jc w:val="right"/>
            </w:pPr>
            <w:r>
              <w:rPr>
                <w:sz w:val="18"/>
              </w:rPr>
              <w:t>2.066,20</w:t>
            </w:r>
          </w:p>
        </w:tc>
        <w:tc>
          <w:tcPr>
            <w:tcW w:w="1860" w:type="dxa"/>
            <w:tcMar>
              <w:top w:w="0" w:type="dxa"/>
              <w:bottom w:w="0" w:type="dxa"/>
            </w:tcMar>
            <w:vAlign w:val="center"/>
          </w:tcPr>
          <w:p w:rsidR="00757F02" w:rsidRDefault="00820E0A">
            <w:pPr>
              <w:keepNext/>
              <w:keepLines/>
              <w:spacing w:after="0" w:line="240" w:lineRule="auto"/>
              <w:jc w:val="right"/>
            </w:pPr>
            <w:r>
              <w:rPr>
                <w:sz w:val="18"/>
              </w:rPr>
              <w:t>3.361,20</w:t>
            </w:r>
          </w:p>
        </w:tc>
        <w:tc>
          <w:tcPr>
            <w:tcW w:w="700" w:type="dxa"/>
            <w:tcMar>
              <w:top w:w="0" w:type="dxa"/>
              <w:bottom w:w="0" w:type="dxa"/>
            </w:tcMar>
            <w:vAlign w:val="center"/>
          </w:tcPr>
          <w:p w:rsidR="00757F02" w:rsidRDefault="00820E0A">
            <w:pPr>
              <w:keepNext/>
              <w:keepLines/>
              <w:spacing w:after="0" w:line="240" w:lineRule="auto"/>
              <w:jc w:val="right"/>
            </w:pPr>
            <w:r>
              <w:rPr>
                <w:sz w:val="18"/>
              </w:rPr>
              <w:t>162,7</w:t>
            </w:r>
          </w:p>
        </w:tc>
      </w:tr>
    </w:tbl>
    <w:p w:rsidR="00757F02" w:rsidRDefault="00757F02">
      <w:pPr>
        <w:spacing w:after="0"/>
      </w:pPr>
    </w:p>
    <w:p w:rsidR="00757F02" w:rsidRDefault="00820E0A">
      <w:pPr>
        <w:spacing w:line="240" w:lineRule="auto"/>
        <w:jc w:val="both"/>
      </w:pPr>
      <w:r>
        <w:t xml:space="preserve">Rashod zabilježen na ovoj šifri iznosi 3.361,20 eura, za razliku od prošlogodišnjih 2.066,20 eura. Razlog povećanja je održavanje tri županijska natjecanja u Srednjoj školi Čazma, onog iz engleskog jezika, povijesti, te </w:t>
      </w:r>
      <w:proofErr w:type="spellStart"/>
      <w:r>
        <w:t>Lidrana</w:t>
      </w:r>
      <w:proofErr w:type="spellEnd"/>
      <w:r>
        <w:t xml:space="preserve">. Prošle </w:t>
      </w:r>
      <w:r>
        <w:t>godine održana su dva županijska natjecanja (</w:t>
      </w:r>
      <w:proofErr w:type="spellStart"/>
      <w:r>
        <w:t>Lidrano</w:t>
      </w:r>
      <w:proofErr w:type="spellEnd"/>
      <w:r>
        <w:t xml:space="preserve"> nije). Škola domaćin županijskog natjecanja plaća prijevoz učenika i mentora iz gradova u županiji do škole domaćina, a ove godine je i znatno povećana cijena autobusa za tu svrhu.</w:t>
      </w:r>
    </w:p>
    <w:p w:rsidR="00757F02" w:rsidRDefault="00757F02"/>
    <w:p w:rsidR="00757F02" w:rsidRDefault="00820E0A">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Račun iz</w:t>
            </w:r>
            <w:r>
              <w:rPr>
                <w:b/>
                <w:sz w:val="18"/>
              </w:rPr>
              <w:t xml:space="preserve">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3233</w:t>
            </w:r>
          </w:p>
        </w:tc>
        <w:tc>
          <w:tcPr>
            <w:tcW w:w="3180" w:type="dxa"/>
            <w:tcMar>
              <w:top w:w="0" w:type="dxa"/>
              <w:bottom w:w="0" w:type="dxa"/>
            </w:tcMar>
            <w:vAlign w:val="center"/>
          </w:tcPr>
          <w:p w:rsidR="00757F02" w:rsidRDefault="00820E0A">
            <w:pPr>
              <w:keepNext/>
              <w:keepLines/>
              <w:spacing w:after="0" w:line="240" w:lineRule="auto"/>
            </w:pPr>
            <w:r>
              <w:rPr>
                <w:sz w:val="18"/>
              </w:rPr>
              <w:t>Usluge promidžbe i informiranja</w:t>
            </w:r>
          </w:p>
        </w:tc>
        <w:tc>
          <w:tcPr>
            <w:tcW w:w="700" w:type="dxa"/>
            <w:tcMar>
              <w:top w:w="0" w:type="dxa"/>
              <w:bottom w:w="0" w:type="dxa"/>
            </w:tcMar>
            <w:vAlign w:val="center"/>
          </w:tcPr>
          <w:p w:rsidR="00757F02" w:rsidRDefault="00820E0A">
            <w:pPr>
              <w:keepNext/>
              <w:keepLines/>
              <w:spacing w:after="0" w:line="240" w:lineRule="auto"/>
            </w:pPr>
            <w:r>
              <w:rPr>
                <w:sz w:val="18"/>
              </w:rPr>
              <w:t>3233</w:t>
            </w:r>
          </w:p>
        </w:tc>
        <w:tc>
          <w:tcPr>
            <w:tcW w:w="1860" w:type="dxa"/>
            <w:tcMar>
              <w:top w:w="0" w:type="dxa"/>
              <w:bottom w:w="0" w:type="dxa"/>
            </w:tcMar>
            <w:vAlign w:val="center"/>
          </w:tcPr>
          <w:p w:rsidR="00757F02" w:rsidRDefault="00820E0A">
            <w:pPr>
              <w:keepNext/>
              <w:keepLines/>
              <w:spacing w:after="0" w:line="240" w:lineRule="auto"/>
              <w:jc w:val="right"/>
            </w:pPr>
            <w:r>
              <w:rPr>
                <w:sz w:val="18"/>
              </w:rPr>
              <w:t>2.545,64</w:t>
            </w:r>
          </w:p>
        </w:tc>
        <w:tc>
          <w:tcPr>
            <w:tcW w:w="1860" w:type="dxa"/>
            <w:tcMar>
              <w:top w:w="0" w:type="dxa"/>
              <w:bottom w:w="0" w:type="dxa"/>
            </w:tcMar>
            <w:vAlign w:val="center"/>
          </w:tcPr>
          <w:p w:rsidR="00757F02" w:rsidRDefault="00820E0A">
            <w:pPr>
              <w:keepNext/>
              <w:keepLines/>
              <w:spacing w:after="0" w:line="240" w:lineRule="auto"/>
              <w:jc w:val="right"/>
            </w:pPr>
            <w:r>
              <w:rPr>
                <w:sz w:val="18"/>
              </w:rPr>
              <w:t>247,50</w:t>
            </w:r>
          </w:p>
        </w:tc>
        <w:tc>
          <w:tcPr>
            <w:tcW w:w="700" w:type="dxa"/>
            <w:tcMar>
              <w:top w:w="0" w:type="dxa"/>
              <w:bottom w:w="0" w:type="dxa"/>
            </w:tcMar>
            <w:vAlign w:val="center"/>
          </w:tcPr>
          <w:p w:rsidR="00757F02" w:rsidRDefault="00820E0A">
            <w:pPr>
              <w:keepNext/>
              <w:keepLines/>
              <w:spacing w:after="0" w:line="240" w:lineRule="auto"/>
              <w:jc w:val="right"/>
            </w:pPr>
            <w:r>
              <w:rPr>
                <w:sz w:val="18"/>
              </w:rPr>
              <w:t>9,7</w:t>
            </w:r>
          </w:p>
        </w:tc>
      </w:tr>
    </w:tbl>
    <w:p w:rsidR="00757F02" w:rsidRDefault="00757F02">
      <w:pPr>
        <w:spacing w:after="0"/>
      </w:pPr>
    </w:p>
    <w:p w:rsidR="00757F02" w:rsidRDefault="00820E0A">
      <w:pPr>
        <w:spacing w:line="240" w:lineRule="auto"/>
        <w:jc w:val="both"/>
      </w:pPr>
      <w:r>
        <w:t xml:space="preserve">U ovoj godini škola nije imala rashode za usluge </w:t>
      </w:r>
      <w:r>
        <w:t xml:space="preserve">promidžbe i informiranja. Prošle godine Srednja škola Čazma slavila je svoju 60. obljetnicu postojanja te je nabavljen promidžbeni materijal za tu priliku. Isto tako nabavljen je promidžbeni materijal iz sredstava </w:t>
      </w:r>
      <w:proofErr w:type="spellStart"/>
      <w:r>
        <w:t>Erasmus</w:t>
      </w:r>
      <w:proofErr w:type="spellEnd"/>
      <w:r>
        <w:t>+ projekta koji su polaznici stručn</w:t>
      </w:r>
      <w:r>
        <w:t>og usavršavanja ponijeli sa sobom u Tursku.</w:t>
      </w:r>
    </w:p>
    <w:p w:rsidR="00757F02" w:rsidRDefault="00757F02"/>
    <w:p w:rsidR="00757F02" w:rsidRDefault="00820E0A">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3236</w:t>
            </w:r>
          </w:p>
        </w:tc>
        <w:tc>
          <w:tcPr>
            <w:tcW w:w="3180" w:type="dxa"/>
            <w:tcMar>
              <w:top w:w="0" w:type="dxa"/>
              <w:bottom w:w="0" w:type="dxa"/>
            </w:tcMar>
            <w:vAlign w:val="center"/>
          </w:tcPr>
          <w:p w:rsidR="00757F02" w:rsidRDefault="00820E0A">
            <w:pPr>
              <w:keepNext/>
              <w:keepLines/>
              <w:spacing w:after="0" w:line="240" w:lineRule="auto"/>
            </w:pPr>
            <w:r>
              <w:rPr>
                <w:sz w:val="18"/>
              </w:rPr>
              <w:t>Zdravstvene i veterinarske usluge</w:t>
            </w:r>
          </w:p>
        </w:tc>
        <w:tc>
          <w:tcPr>
            <w:tcW w:w="700" w:type="dxa"/>
            <w:tcMar>
              <w:top w:w="0" w:type="dxa"/>
              <w:bottom w:w="0" w:type="dxa"/>
            </w:tcMar>
            <w:vAlign w:val="center"/>
          </w:tcPr>
          <w:p w:rsidR="00757F02" w:rsidRDefault="00820E0A">
            <w:pPr>
              <w:keepNext/>
              <w:keepLines/>
              <w:spacing w:after="0" w:line="240" w:lineRule="auto"/>
            </w:pPr>
            <w:r>
              <w:rPr>
                <w:sz w:val="18"/>
              </w:rPr>
              <w:t>3236</w:t>
            </w:r>
          </w:p>
        </w:tc>
        <w:tc>
          <w:tcPr>
            <w:tcW w:w="1860" w:type="dxa"/>
            <w:tcMar>
              <w:top w:w="0" w:type="dxa"/>
              <w:bottom w:w="0" w:type="dxa"/>
            </w:tcMar>
            <w:vAlign w:val="center"/>
          </w:tcPr>
          <w:p w:rsidR="00757F02" w:rsidRDefault="00820E0A">
            <w:pPr>
              <w:keepNext/>
              <w:keepLines/>
              <w:spacing w:after="0" w:line="240" w:lineRule="auto"/>
              <w:jc w:val="right"/>
            </w:pPr>
            <w:r>
              <w:rPr>
                <w:sz w:val="18"/>
              </w:rPr>
              <w:t>33,10</w:t>
            </w:r>
          </w:p>
        </w:tc>
        <w:tc>
          <w:tcPr>
            <w:tcW w:w="1860" w:type="dxa"/>
            <w:tcMar>
              <w:top w:w="0" w:type="dxa"/>
              <w:bottom w:w="0" w:type="dxa"/>
            </w:tcMar>
            <w:vAlign w:val="center"/>
          </w:tcPr>
          <w:p w:rsidR="00757F02" w:rsidRDefault="00820E0A">
            <w:pPr>
              <w:keepNext/>
              <w:keepLines/>
              <w:spacing w:after="0" w:line="240" w:lineRule="auto"/>
              <w:jc w:val="right"/>
            </w:pPr>
            <w:r>
              <w:rPr>
                <w:sz w:val="18"/>
              </w:rPr>
              <w:t>2.675,09</w:t>
            </w:r>
          </w:p>
        </w:tc>
        <w:tc>
          <w:tcPr>
            <w:tcW w:w="700" w:type="dxa"/>
            <w:tcMar>
              <w:top w:w="0" w:type="dxa"/>
              <w:bottom w:w="0" w:type="dxa"/>
            </w:tcMar>
            <w:vAlign w:val="center"/>
          </w:tcPr>
          <w:p w:rsidR="00757F02" w:rsidRDefault="00820E0A">
            <w:pPr>
              <w:keepNext/>
              <w:keepLines/>
              <w:spacing w:after="0" w:line="240" w:lineRule="auto"/>
              <w:jc w:val="right"/>
            </w:pPr>
            <w:r>
              <w:rPr>
                <w:sz w:val="18"/>
              </w:rPr>
              <w:t>8081,8</w:t>
            </w:r>
          </w:p>
        </w:tc>
      </w:tr>
    </w:tbl>
    <w:p w:rsidR="00757F02" w:rsidRDefault="00757F02">
      <w:pPr>
        <w:spacing w:after="0"/>
      </w:pPr>
    </w:p>
    <w:p w:rsidR="00757F02" w:rsidRDefault="00820E0A">
      <w:pPr>
        <w:spacing w:line="240" w:lineRule="auto"/>
        <w:jc w:val="both"/>
      </w:pPr>
      <w:r>
        <w:t>U 2025. godini evidentiran je iznos na ovoj šifri, a odnosi se na sistematski pregled zaposlenika na koji imaju pravo prema Temeljnom kolektivnom ugovoru za javne službe.</w:t>
      </w:r>
    </w:p>
    <w:p w:rsidR="00757F02" w:rsidRDefault="00757F02"/>
    <w:p w:rsidR="00757F02" w:rsidRDefault="00820E0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3238</w:t>
            </w:r>
          </w:p>
        </w:tc>
        <w:tc>
          <w:tcPr>
            <w:tcW w:w="3180" w:type="dxa"/>
            <w:tcMar>
              <w:top w:w="0" w:type="dxa"/>
              <w:bottom w:w="0" w:type="dxa"/>
            </w:tcMar>
            <w:vAlign w:val="center"/>
          </w:tcPr>
          <w:p w:rsidR="00757F02" w:rsidRDefault="00820E0A">
            <w:pPr>
              <w:keepNext/>
              <w:keepLines/>
              <w:spacing w:after="0" w:line="240" w:lineRule="auto"/>
            </w:pPr>
            <w:r>
              <w:rPr>
                <w:sz w:val="18"/>
              </w:rPr>
              <w:t>Računalne usluge</w:t>
            </w:r>
          </w:p>
        </w:tc>
        <w:tc>
          <w:tcPr>
            <w:tcW w:w="700" w:type="dxa"/>
            <w:tcMar>
              <w:top w:w="0" w:type="dxa"/>
              <w:bottom w:w="0" w:type="dxa"/>
            </w:tcMar>
            <w:vAlign w:val="center"/>
          </w:tcPr>
          <w:p w:rsidR="00757F02" w:rsidRDefault="00820E0A">
            <w:pPr>
              <w:keepNext/>
              <w:keepLines/>
              <w:spacing w:after="0" w:line="240" w:lineRule="auto"/>
            </w:pPr>
            <w:r>
              <w:rPr>
                <w:sz w:val="18"/>
              </w:rPr>
              <w:t>3238</w:t>
            </w:r>
          </w:p>
        </w:tc>
        <w:tc>
          <w:tcPr>
            <w:tcW w:w="1860" w:type="dxa"/>
            <w:tcMar>
              <w:top w:w="0" w:type="dxa"/>
              <w:bottom w:w="0" w:type="dxa"/>
            </w:tcMar>
            <w:vAlign w:val="center"/>
          </w:tcPr>
          <w:p w:rsidR="00757F02" w:rsidRDefault="00820E0A">
            <w:pPr>
              <w:keepNext/>
              <w:keepLines/>
              <w:spacing w:after="0" w:line="240" w:lineRule="auto"/>
              <w:jc w:val="right"/>
            </w:pPr>
            <w:r>
              <w:rPr>
                <w:sz w:val="18"/>
              </w:rPr>
              <w:t>75,00</w:t>
            </w:r>
          </w:p>
        </w:tc>
        <w:tc>
          <w:tcPr>
            <w:tcW w:w="1860" w:type="dxa"/>
            <w:tcMar>
              <w:top w:w="0" w:type="dxa"/>
              <w:bottom w:w="0" w:type="dxa"/>
            </w:tcMar>
            <w:vAlign w:val="center"/>
          </w:tcPr>
          <w:p w:rsidR="00757F02" w:rsidRDefault="00820E0A">
            <w:pPr>
              <w:keepNext/>
              <w:keepLines/>
              <w:spacing w:after="0" w:line="240" w:lineRule="auto"/>
              <w:jc w:val="right"/>
            </w:pPr>
            <w:r>
              <w:rPr>
                <w:sz w:val="18"/>
              </w:rPr>
              <w:t>635,80</w:t>
            </w:r>
          </w:p>
        </w:tc>
        <w:tc>
          <w:tcPr>
            <w:tcW w:w="700" w:type="dxa"/>
            <w:tcMar>
              <w:top w:w="0" w:type="dxa"/>
              <w:bottom w:w="0" w:type="dxa"/>
            </w:tcMar>
            <w:vAlign w:val="center"/>
          </w:tcPr>
          <w:p w:rsidR="00757F02" w:rsidRDefault="00820E0A">
            <w:pPr>
              <w:keepNext/>
              <w:keepLines/>
              <w:spacing w:after="0" w:line="240" w:lineRule="auto"/>
              <w:jc w:val="right"/>
            </w:pPr>
            <w:r>
              <w:rPr>
                <w:sz w:val="18"/>
              </w:rPr>
              <w:t>847,7</w:t>
            </w:r>
          </w:p>
        </w:tc>
      </w:tr>
    </w:tbl>
    <w:p w:rsidR="00757F02" w:rsidRDefault="00757F02">
      <w:pPr>
        <w:spacing w:after="0"/>
      </w:pPr>
    </w:p>
    <w:p w:rsidR="00757F02" w:rsidRDefault="00820E0A">
      <w:pPr>
        <w:spacing w:line="240" w:lineRule="auto"/>
        <w:jc w:val="both"/>
      </w:pPr>
      <w:r>
        <w:t>U 2025. godini je na računalne usluge prebačeno evidentiranje korištenja računalnih programa (</w:t>
      </w:r>
      <w:proofErr w:type="spellStart"/>
      <w:r>
        <w:t>Infomare</w:t>
      </w:r>
      <w:proofErr w:type="spellEnd"/>
      <w:r>
        <w:t xml:space="preserve">, </w:t>
      </w:r>
      <w:r>
        <w:t>knjižnični program, Fina e-račun servis) koje se prije knjižilo na 3232 Usluge tekućeg i investicijskog održavanja.</w:t>
      </w:r>
    </w:p>
    <w:p w:rsidR="00757F02" w:rsidRDefault="00757F02"/>
    <w:p w:rsidR="00757F02" w:rsidRDefault="00820E0A">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w:t>
            </w:r>
            <w:r>
              <w:rPr>
                <w:b/>
                <w:sz w:val="18"/>
              </w:rPr>
              <w: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324</w:t>
            </w:r>
          </w:p>
        </w:tc>
        <w:tc>
          <w:tcPr>
            <w:tcW w:w="3180" w:type="dxa"/>
            <w:tcMar>
              <w:top w:w="0" w:type="dxa"/>
              <w:bottom w:w="0" w:type="dxa"/>
            </w:tcMar>
            <w:vAlign w:val="center"/>
          </w:tcPr>
          <w:p w:rsidR="00757F02" w:rsidRDefault="00820E0A">
            <w:pPr>
              <w:keepNext/>
              <w:keepLines/>
              <w:spacing w:after="0" w:line="240" w:lineRule="auto"/>
            </w:pPr>
            <w:r>
              <w:rPr>
                <w:sz w:val="18"/>
              </w:rPr>
              <w:t>Naknade troškova osobama izvan radnog odnosa</w:t>
            </w:r>
          </w:p>
        </w:tc>
        <w:tc>
          <w:tcPr>
            <w:tcW w:w="700" w:type="dxa"/>
            <w:tcMar>
              <w:top w:w="0" w:type="dxa"/>
              <w:bottom w:w="0" w:type="dxa"/>
            </w:tcMar>
            <w:vAlign w:val="center"/>
          </w:tcPr>
          <w:p w:rsidR="00757F02" w:rsidRDefault="00820E0A">
            <w:pPr>
              <w:keepNext/>
              <w:keepLines/>
              <w:spacing w:after="0" w:line="240" w:lineRule="auto"/>
            </w:pPr>
            <w:r>
              <w:rPr>
                <w:sz w:val="18"/>
              </w:rPr>
              <w:t>324</w:t>
            </w:r>
          </w:p>
        </w:tc>
        <w:tc>
          <w:tcPr>
            <w:tcW w:w="1860" w:type="dxa"/>
            <w:tcMar>
              <w:top w:w="0" w:type="dxa"/>
              <w:bottom w:w="0" w:type="dxa"/>
            </w:tcMar>
            <w:vAlign w:val="center"/>
          </w:tcPr>
          <w:p w:rsidR="00757F02" w:rsidRDefault="00820E0A">
            <w:pPr>
              <w:keepNext/>
              <w:keepLines/>
              <w:spacing w:after="0" w:line="240" w:lineRule="auto"/>
              <w:jc w:val="right"/>
            </w:pPr>
            <w:r>
              <w:rPr>
                <w:sz w:val="18"/>
              </w:rPr>
              <w:t>22.139,96</w:t>
            </w:r>
          </w:p>
        </w:tc>
        <w:tc>
          <w:tcPr>
            <w:tcW w:w="1860" w:type="dxa"/>
            <w:tcMar>
              <w:top w:w="0" w:type="dxa"/>
              <w:bottom w:w="0" w:type="dxa"/>
            </w:tcMar>
            <w:vAlign w:val="center"/>
          </w:tcPr>
          <w:p w:rsidR="00757F02" w:rsidRDefault="00820E0A">
            <w:pPr>
              <w:keepNext/>
              <w:keepLines/>
              <w:spacing w:after="0" w:line="240" w:lineRule="auto"/>
              <w:jc w:val="right"/>
            </w:pPr>
            <w:r>
              <w:rPr>
                <w:sz w:val="18"/>
              </w:rPr>
              <w:t>6.085,70</w:t>
            </w:r>
          </w:p>
        </w:tc>
        <w:tc>
          <w:tcPr>
            <w:tcW w:w="700" w:type="dxa"/>
            <w:tcMar>
              <w:top w:w="0" w:type="dxa"/>
              <w:bottom w:w="0" w:type="dxa"/>
            </w:tcMar>
            <w:vAlign w:val="center"/>
          </w:tcPr>
          <w:p w:rsidR="00757F02" w:rsidRDefault="00820E0A">
            <w:pPr>
              <w:keepNext/>
              <w:keepLines/>
              <w:spacing w:after="0" w:line="240" w:lineRule="auto"/>
              <w:jc w:val="right"/>
            </w:pPr>
            <w:r>
              <w:rPr>
                <w:sz w:val="18"/>
              </w:rPr>
              <w:t>27,5</w:t>
            </w:r>
          </w:p>
        </w:tc>
      </w:tr>
    </w:tbl>
    <w:p w:rsidR="00757F02" w:rsidRDefault="00757F02">
      <w:pPr>
        <w:spacing w:after="0"/>
      </w:pPr>
    </w:p>
    <w:p w:rsidR="00757F02" w:rsidRDefault="00820E0A">
      <w:pPr>
        <w:spacing w:line="240" w:lineRule="auto"/>
        <w:jc w:val="both"/>
      </w:pPr>
      <w:r>
        <w:t xml:space="preserve">Na šifri 324 je u 2024. godini bili su evidentirani iznosi za trošak boravka učenika polaznika stručnog usavršavanja financiranog </w:t>
      </w:r>
      <w:proofErr w:type="spellStart"/>
      <w:r>
        <w:t>Erasmus</w:t>
      </w:r>
      <w:proofErr w:type="spellEnd"/>
      <w:r>
        <w:t xml:space="preserve">+ projektom, a </w:t>
      </w:r>
      <w:r>
        <w:t>u 2025. godini je evidentiran samo iznos u visini pristigle uplate prema završnom izvješću.</w:t>
      </w:r>
    </w:p>
    <w:p w:rsidR="00757F02" w:rsidRDefault="00757F02"/>
    <w:p w:rsidR="00757F02" w:rsidRDefault="00820E0A">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820E0A">
            <w:pPr>
              <w:keepNext/>
              <w:keepLines/>
              <w:spacing w:after="0" w:line="240" w:lineRule="auto"/>
            </w:pPr>
            <w:r>
              <w:rPr>
                <w:sz w:val="18"/>
              </w:rPr>
              <w:t>4212</w:t>
            </w:r>
          </w:p>
        </w:tc>
        <w:tc>
          <w:tcPr>
            <w:tcW w:w="3180" w:type="dxa"/>
            <w:tcMar>
              <w:top w:w="0" w:type="dxa"/>
              <w:bottom w:w="0" w:type="dxa"/>
            </w:tcMar>
            <w:vAlign w:val="center"/>
          </w:tcPr>
          <w:p w:rsidR="00757F02" w:rsidRDefault="00820E0A">
            <w:pPr>
              <w:keepNext/>
              <w:keepLines/>
              <w:spacing w:after="0" w:line="240" w:lineRule="auto"/>
            </w:pPr>
            <w:r>
              <w:rPr>
                <w:sz w:val="18"/>
              </w:rPr>
              <w:t>Poslovni objekti</w:t>
            </w:r>
          </w:p>
        </w:tc>
        <w:tc>
          <w:tcPr>
            <w:tcW w:w="700" w:type="dxa"/>
            <w:tcMar>
              <w:top w:w="0" w:type="dxa"/>
              <w:bottom w:w="0" w:type="dxa"/>
            </w:tcMar>
            <w:vAlign w:val="center"/>
          </w:tcPr>
          <w:p w:rsidR="00757F02" w:rsidRDefault="00820E0A">
            <w:pPr>
              <w:keepNext/>
              <w:keepLines/>
              <w:spacing w:after="0" w:line="240" w:lineRule="auto"/>
            </w:pPr>
            <w:r>
              <w:rPr>
                <w:sz w:val="18"/>
              </w:rPr>
              <w:t>4212</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1860" w:type="dxa"/>
            <w:tcMar>
              <w:top w:w="0" w:type="dxa"/>
              <w:bottom w:w="0" w:type="dxa"/>
            </w:tcMar>
            <w:vAlign w:val="center"/>
          </w:tcPr>
          <w:p w:rsidR="00757F02" w:rsidRDefault="00820E0A">
            <w:pPr>
              <w:keepNext/>
              <w:keepLines/>
              <w:spacing w:after="0" w:line="240" w:lineRule="auto"/>
              <w:jc w:val="right"/>
            </w:pPr>
            <w:r>
              <w:rPr>
                <w:sz w:val="18"/>
              </w:rPr>
              <w:t>14.262,50</w:t>
            </w:r>
          </w:p>
        </w:tc>
        <w:tc>
          <w:tcPr>
            <w:tcW w:w="700" w:type="dxa"/>
            <w:tcMar>
              <w:top w:w="0" w:type="dxa"/>
              <w:bottom w:w="0" w:type="dxa"/>
            </w:tcMar>
            <w:vAlign w:val="center"/>
          </w:tcPr>
          <w:p w:rsidR="00757F02" w:rsidRDefault="00820E0A">
            <w:pPr>
              <w:keepNext/>
              <w:keepLines/>
              <w:spacing w:after="0" w:line="240" w:lineRule="auto"/>
              <w:jc w:val="right"/>
            </w:pPr>
            <w:r>
              <w:rPr>
                <w:sz w:val="18"/>
              </w:rPr>
              <w:t>-</w:t>
            </w:r>
          </w:p>
        </w:tc>
      </w:tr>
    </w:tbl>
    <w:p w:rsidR="00757F02" w:rsidRDefault="00757F02">
      <w:pPr>
        <w:spacing w:after="0"/>
      </w:pPr>
    </w:p>
    <w:p w:rsidR="00757F02" w:rsidRDefault="00820E0A">
      <w:pPr>
        <w:spacing w:line="240" w:lineRule="auto"/>
        <w:jc w:val="both"/>
      </w:pPr>
      <w:r>
        <w:t>Zabilježeno je ulaganje u Dom školskog centra Čazma, tj. izradu projektne dokumentacije.</w:t>
      </w:r>
    </w:p>
    <w:p w:rsidR="00757F02" w:rsidRDefault="00757F02"/>
    <w:p w:rsidR="00757F02" w:rsidRDefault="00820E0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757F02">
            <w:pPr>
              <w:keepNext/>
              <w:keepLines/>
              <w:spacing w:after="0" w:line="240" w:lineRule="auto"/>
            </w:pPr>
          </w:p>
        </w:tc>
        <w:tc>
          <w:tcPr>
            <w:tcW w:w="3180" w:type="dxa"/>
            <w:tcMar>
              <w:top w:w="0" w:type="dxa"/>
              <w:bottom w:w="0" w:type="dxa"/>
            </w:tcMar>
            <w:vAlign w:val="center"/>
          </w:tcPr>
          <w:p w:rsidR="00757F02" w:rsidRDefault="00820E0A">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757F02" w:rsidRDefault="00820E0A">
            <w:pPr>
              <w:keepNext/>
              <w:keepLines/>
              <w:spacing w:after="0" w:line="240" w:lineRule="auto"/>
            </w:pPr>
            <w:r>
              <w:rPr>
                <w:sz w:val="18"/>
              </w:rPr>
              <w:t>Y006</w:t>
            </w:r>
          </w:p>
        </w:tc>
        <w:tc>
          <w:tcPr>
            <w:tcW w:w="1860" w:type="dxa"/>
            <w:tcMar>
              <w:top w:w="0" w:type="dxa"/>
              <w:bottom w:w="0" w:type="dxa"/>
            </w:tcMar>
            <w:vAlign w:val="center"/>
          </w:tcPr>
          <w:p w:rsidR="00757F02" w:rsidRDefault="00820E0A">
            <w:pPr>
              <w:keepNext/>
              <w:keepLines/>
              <w:spacing w:after="0" w:line="240" w:lineRule="auto"/>
              <w:jc w:val="right"/>
            </w:pPr>
            <w:r>
              <w:rPr>
                <w:sz w:val="18"/>
              </w:rPr>
              <w:t>0,00</w:t>
            </w:r>
          </w:p>
        </w:tc>
        <w:tc>
          <w:tcPr>
            <w:tcW w:w="1860" w:type="dxa"/>
            <w:tcMar>
              <w:top w:w="0" w:type="dxa"/>
              <w:bottom w:w="0" w:type="dxa"/>
            </w:tcMar>
            <w:vAlign w:val="center"/>
          </w:tcPr>
          <w:p w:rsidR="00757F02" w:rsidRDefault="00820E0A">
            <w:pPr>
              <w:keepNext/>
              <w:keepLines/>
              <w:spacing w:after="0" w:line="240" w:lineRule="auto"/>
              <w:jc w:val="right"/>
            </w:pPr>
            <w:r>
              <w:rPr>
                <w:sz w:val="18"/>
              </w:rPr>
              <w:t>83.950,75</w:t>
            </w:r>
          </w:p>
        </w:tc>
        <w:tc>
          <w:tcPr>
            <w:tcW w:w="700" w:type="dxa"/>
            <w:tcMar>
              <w:top w:w="0" w:type="dxa"/>
              <w:bottom w:w="0" w:type="dxa"/>
            </w:tcMar>
            <w:vAlign w:val="center"/>
          </w:tcPr>
          <w:p w:rsidR="00757F02" w:rsidRDefault="00820E0A">
            <w:pPr>
              <w:keepNext/>
              <w:keepLines/>
              <w:spacing w:after="0" w:line="240" w:lineRule="auto"/>
              <w:jc w:val="right"/>
            </w:pPr>
            <w:r>
              <w:rPr>
                <w:sz w:val="18"/>
              </w:rPr>
              <w:t>-</w:t>
            </w:r>
          </w:p>
        </w:tc>
      </w:tr>
    </w:tbl>
    <w:p w:rsidR="00757F02" w:rsidRDefault="00757F02">
      <w:pPr>
        <w:spacing w:after="0"/>
      </w:pPr>
    </w:p>
    <w:p w:rsidR="00757F02" w:rsidRDefault="00820E0A">
      <w:pPr>
        <w:spacing w:line="240" w:lineRule="auto"/>
        <w:jc w:val="both"/>
      </w:pPr>
      <w:r>
        <w:t xml:space="preserve">Ukupni prihodi u periodu 01.01. – 30.06.2025. godine iznose 639.992,76 </w:t>
      </w:r>
      <w:r>
        <w:t>eura, dok su ukupni rashodi evidentirani u iznosu 724.713,93eura, te je razlika razdoblja manjak od 84.721,17 eura (šifra Y005). Preneseni višak prihoda iznosi 770,42 eura, što rezultira iznosom od 83.950,75 eura manjka za pokriće u sljedećem razdoblju. Na</w:t>
      </w:r>
      <w:r>
        <w:t>vedeni iznos je metodološki manjak nastao zbog izmjene Pravilnika o proračunskom računovodstvu i Računskom planu kojim je ukinuta podskupina 193 - Kontinuirani rashodi budućih razdoblja i obračunata plaća za lipanj nije knjižena kao do sada na tu podskupin</w:t>
      </w:r>
      <w:r>
        <w:t>u nego na rashod s datumom 30. lipnja. Time je knjiženo sedam rashoda plaće u prvom polugodištu, a šest prihoda za plaću i iskazan je manjak u visini obračunate, a neisplaćene plaće za lipanj.</w:t>
      </w:r>
    </w:p>
    <w:p w:rsidR="00757F02" w:rsidRDefault="00757F02"/>
    <w:p w:rsidR="00757F02" w:rsidRDefault="00820E0A">
      <w:pPr>
        <w:keepNext/>
        <w:spacing w:line="240" w:lineRule="auto"/>
        <w:jc w:val="center"/>
      </w:pPr>
      <w:r>
        <w:rPr>
          <w:b/>
          <w:sz w:val="28"/>
        </w:rPr>
        <w:t>Izvještaj o obvezama</w:t>
      </w:r>
    </w:p>
    <w:p w:rsidR="00757F02" w:rsidRDefault="00820E0A">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57F02">
        <w:tblPrEx>
          <w:tblCellMar>
            <w:top w:w="0" w:type="dxa"/>
            <w:bottom w:w="0" w:type="dxa"/>
          </w:tblCellMar>
        </w:tblPrEx>
        <w:trPr>
          <w:cantSplit/>
        </w:trPr>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57F02" w:rsidRDefault="00820E0A">
            <w:pPr>
              <w:keepNext/>
              <w:keepLines/>
              <w:spacing w:after="0" w:line="240" w:lineRule="auto"/>
              <w:jc w:val="center"/>
            </w:pPr>
            <w:r>
              <w:rPr>
                <w:b/>
                <w:sz w:val="18"/>
              </w:rPr>
              <w:t>Indeks (%)</w:t>
            </w:r>
          </w:p>
        </w:tc>
      </w:tr>
      <w:tr w:rsidR="00757F02">
        <w:tblPrEx>
          <w:tblCellMar>
            <w:top w:w="0" w:type="dxa"/>
            <w:bottom w:w="0" w:type="dxa"/>
          </w:tblCellMar>
        </w:tblPrEx>
        <w:trPr>
          <w:cantSplit/>
          <w:trHeight w:val="560"/>
        </w:trPr>
        <w:tc>
          <w:tcPr>
            <w:tcW w:w="700" w:type="dxa"/>
            <w:tcMar>
              <w:top w:w="0" w:type="dxa"/>
              <w:bottom w:w="0" w:type="dxa"/>
            </w:tcMar>
            <w:vAlign w:val="center"/>
          </w:tcPr>
          <w:p w:rsidR="00757F02" w:rsidRDefault="00757F02">
            <w:pPr>
              <w:keepNext/>
              <w:keepLines/>
              <w:spacing w:after="0" w:line="240" w:lineRule="auto"/>
            </w:pPr>
          </w:p>
        </w:tc>
        <w:tc>
          <w:tcPr>
            <w:tcW w:w="3180" w:type="dxa"/>
            <w:tcMar>
              <w:top w:w="0" w:type="dxa"/>
              <w:bottom w:w="0" w:type="dxa"/>
            </w:tcMar>
            <w:vAlign w:val="center"/>
          </w:tcPr>
          <w:p w:rsidR="00757F02" w:rsidRDefault="00820E0A">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57F02" w:rsidRDefault="00820E0A">
            <w:pPr>
              <w:keepNext/>
              <w:keepLines/>
              <w:spacing w:after="0" w:line="240" w:lineRule="auto"/>
            </w:pPr>
            <w:r>
              <w:rPr>
                <w:sz w:val="18"/>
              </w:rPr>
              <w:t>V007</w:t>
            </w:r>
          </w:p>
        </w:tc>
        <w:tc>
          <w:tcPr>
            <w:tcW w:w="1860" w:type="dxa"/>
            <w:tcMar>
              <w:top w:w="0" w:type="dxa"/>
              <w:bottom w:w="0" w:type="dxa"/>
            </w:tcMar>
            <w:vAlign w:val="center"/>
          </w:tcPr>
          <w:p w:rsidR="00757F02" w:rsidRDefault="00820E0A">
            <w:pPr>
              <w:keepNext/>
              <w:keepLines/>
              <w:spacing w:after="0" w:line="240" w:lineRule="auto"/>
              <w:jc w:val="right"/>
            </w:pPr>
            <w:r>
              <w:rPr>
                <w:sz w:val="18"/>
              </w:rPr>
              <w:t>1.009,80</w:t>
            </w:r>
          </w:p>
        </w:tc>
        <w:tc>
          <w:tcPr>
            <w:tcW w:w="700" w:type="dxa"/>
            <w:tcMar>
              <w:top w:w="0" w:type="dxa"/>
              <w:bottom w:w="0" w:type="dxa"/>
            </w:tcMar>
            <w:vAlign w:val="center"/>
          </w:tcPr>
          <w:p w:rsidR="00757F02" w:rsidRDefault="00820E0A">
            <w:pPr>
              <w:keepNext/>
              <w:keepLines/>
              <w:spacing w:after="0" w:line="240" w:lineRule="auto"/>
              <w:jc w:val="right"/>
            </w:pPr>
            <w:r>
              <w:rPr>
                <w:sz w:val="18"/>
              </w:rPr>
              <w:t>-</w:t>
            </w:r>
          </w:p>
        </w:tc>
      </w:tr>
    </w:tbl>
    <w:p w:rsidR="00757F02" w:rsidRDefault="00757F02">
      <w:pPr>
        <w:spacing w:after="0"/>
      </w:pPr>
    </w:p>
    <w:p w:rsidR="00757F02" w:rsidRDefault="00820E0A">
      <w:pPr>
        <w:spacing w:line="240" w:lineRule="auto"/>
        <w:jc w:val="both"/>
      </w:pPr>
      <w:r>
        <w:t xml:space="preserve">Račun dobavljača </w:t>
      </w:r>
      <w:proofErr w:type="spellStart"/>
      <w:r>
        <w:t>Vacom</w:t>
      </w:r>
      <w:proofErr w:type="spellEnd"/>
      <w:r>
        <w:t xml:space="preserve"> d.o.o.  u iznosu 1.009,80 eura poslan je 20. lipnja 2025. godine, te je na njemu </w:t>
      </w:r>
      <w:r>
        <w:t>dospijeće 30. lipnja 2025. godine. Škola pristigle račune do 20. u mjesecu šalje na plaćanje svome osnivaču, Bjelovarsko-bilogorskoj županiji, te će ovaj račun biti plaćen u srpnju. Nabavljeno je računalo za školu.</w:t>
      </w:r>
    </w:p>
    <w:p w:rsidR="00757F02" w:rsidRDefault="00757F02"/>
    <w:sectPr w:rsidR="00757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02"/>
    <w:rsid w:val="00757F02"/>
    <w:rsid w:val="00820E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52F3C-EF96-4D8B-A17A-5470E91D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20E0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0E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1662</Words>
  <Characters>9478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Računovodstvo</dc:creator>
  <cp:lastModifiedBy>Računovodstvo</cp:lastModifiedBy>
  <cp:revision>2</cp:revision>
  <cp:lastPrinted>2025-07-10T07:59:00Z</cp:lastPrinted>
  <dcterms:created xsi:type="dcterms:W3CDTF">2025-07-10T08:00:00Z</dcterms:created>
  <dcterms:modified xsi:type="dcterms:W3CDTF">2025-07-10T08:00:00Z</dcterms:modified>
</cp:coreProperties>
</file>